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芜湖</w:t>
      </w:r>
      <w:r>
        <w:rPr>
          <w:rFonts w:hint="eastAsia" w:ascii="方正小标宋简体" w:hAnsi="方正小标宋简体" w:eastAsia="方正小标宋简体" w:cs="方正小标宋简体"/>
          <w:b w:val="0"/>
          <w:bCs w:val="0"/>
          <w:color w:val="000000"/>
          <w:spacing w:val="0"/>
          <w:w w:val="100"/>
          <w:position w:val="0"/>
          <w:sz w:val="44"/>
          <w:szCs w:val="44"/>
        </w:rPr>
        <w:t>市医疗保障定点零售药店信用等级</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评价</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实施细则</w:t>
      </w:r>
      <w:r>
        <w:rPr>
          <w:rFonts w:hint="eastAsia" w:ascii="方正小标宋简体" w:hAnsi="方正小标宋简体" w:eastAsia="方正小标宋简体" w:cs="方正小标宋简体"/>
          <w:b w:val="0"/>
          <w:bCs w:val="0"/>
          <w:color w:val="000000"/>
          <w:spacing w:val="0"/>
          <w:w w:val="100"/>
          <w:position w:val="0"/>
          <w:sz w:val="44"/>
          <w:szCs w:val="44"/>
        </w:rPr>
        <w:t>（试行）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第一章总则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spacing w:val="0"/>
          <w:w w:val="100"/>
          <w:position w:val="0"/>
          <w:sz w:val="32"/>
          <w:szCs w:val="32"/>
        </w:rPr>
        <w:t>第一条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为推进我市医保基金监管信用体系建设工作，提升医保基金监管能力和水平，促进医保事业健康、可持续发展，营造诚实、自律、守信、互信的信用环境，根据</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eastAsia="zh-CN"/>
        </w:rPr>
        <w:t>芜湖市医疗保障信用管理办法（试行）》</w:t>
      </w:r>
      <w:r>
        <w:rPr>
          <w:rFonts w:hint="eastAsia" w:ascii="仿宋_GB2312" w:hAnsi="仿宋_GB2312" w:eastAsia="仿宋_GB2312" w:cs="仿宋_GB2312"/>
          <w:b w:val="0"/>
          <w:bCs w:val="0"/>
          <w:color w:val="auto"/>
          <w:spacing w:val="0"/>
          <w:w w:val="100"/>
          <w:position w:val="0"/>
          <w:sz w:val="32"/>
          <w:szCs w:val="32"/>
        </w:rPr>
        <w:t>，制定本</w:t>
      </w:r>
      <w:r>
        <w:rPr>
          <w:rFonts w:hint="eastAsia" w:ascii="仿宋_GB2312" w:hAnsi="仿宋_GB2312" w:eastAsia="仿宋_GB2312" w:cs="仿宋_GB2312"/>
          <w:b w:val="0"/>
          <w:bCs w:val="0"/>
          <w:color w:val="auto"/>
          <w:spacing w:val="0"/>
          <w:w w:val="100"/>
          <w:position w:val="0"/>
          <w:sz w:val="32"/>
          <w:szCs w:val="32"/>
          <w:lang w:val="en-US" w:eastAsia="zh-CN"/>
        </w:rPr>
        <w:t>实施细则</w:t>
      </w:r>
      <w:r>
        <w:rPr>
          <w:rFonts w:hint="eastAsia" w:ascii="仿宋_GB2312" w:hAnsi="仿宋_GB2312" w:eastAsia="仿宋_GB2312" w:cs="仿宋_GB2312"/>
          <w:b w:val="0"/>
          <w:bCs w:val="0"/>
          <w:color w:val="auto"/>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第二条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本</w:t>
      </w:r>
      <w:r>
        <w:rPr>
          <w:rFonts w:hint="eastAsia" w:ascii="仿宋_GB2312" w:hAnsi="仿宋_GB2312" w:eastAsia="仿宋_GB2312" w:cs="仿宋_GB2312"/>
          <w:color w:val="000000"/>
          <w:spacing w:val="0"/>
          <w:w w:val="100"/>
          <w:position w:val="0"/>
          <w:sz w:val="32"/>
          <w:szCs w:val="32"/>
          <w:lang w:val="en-US" w:eastAsia="zh-CN"/>
        </w:rPr>
        <w:t>实施细则</w:t>
      </w:r>
      <w:r>
        <w:rPr>
          <w:rFonts w:hint="eastAsia" w:ascii="仿宋_GB2312" w:hAnsi="仿宋_GB2312" w:eastAsia="仿宋_GB2312" w:cs="仿宋_GB2312"/>
          <w:b w:val="0"/>
          <w:bCs w:val="0"/>
          <w:color w:val="000000"/>
          <w:spacing w:val="0"/>
          <w:w w:val="100"/>
          <w:position w:val="0"/>
          <w:sz w:val="32"/>
          <w:szCs w:val="32"/>
        </w:rPr>
        <w:t>适用于本市行政区域内基本医疗保障定点零售药店。</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第三条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定点零售药店信用评价包括定点零售药店是否按照有关法律、政策规定和服务协议约定，履行自身权利及义务，诚信规范经营，维护医保基金安全等。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第二章信用评价</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第四条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医疗保险定点零售药店信用评价实行积分制管理，医疗保障部门依据信用事件的性质、情节及涉及金额等因素科学赋分，详见附件。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第五条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定点零售药店信用评价实行百分制。根据零售药店自身特点、医保基金监管重点、对医保基金的影响力等因素确定每项指标的赋分标准、详见附件。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第六条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根据信用积分确定等级，信用等级统一划分为</w:t>
      </w:r>
      <w:r>
        <w:rPr>
          <w:rFonts w:hint="eastAsia" w:ascii="仿宋_GB2312" w:hAnsi="仿宋_GB2312" w:eastAsia="仿宋_GB2312" w:cs="仿宋_GB2312"/>
          <w:b w:val="0"/>
          <w:bCs w:val="0"/>
          <w:color w:val="000000"/>
          <w:spacing w:val="0"/>
          <w:w w:val="100"/>
          <w:position w:val="0"/>
          <w:sz w:val="32"/>
          <w:szCs w:val="32"/>
          <w:lang w:val="en-US" w:eastAsia="en-US" w:bidi="en-US"/>
        </w:rPr>
        <w:t>A、B、C</w:t>
      </w:r>
      <w:r>
        <w:rPr>
          <w:rFonts w:hint="eastAsia" w:ascii="仿宋_GB2312" w:hAnsi="仿宋_GB2312" w:eastAsia="仿宋_GB2312" w:cs="仿宋_GB2312"/>
          <w:b w:val="0"/>
          <w:bCs w:val="0"/>
          <w:color w:val="000000"/>
          <w:spacing w:val="0"/>
          <w:w w:val="100"/>
          <w:position w:val="0"/>
          <w:sz w:val="32"/>
          <w:szCs w:val="32"/>
          <w:lang w:val="en-US" w:eastAsia="zh-CN" w:bidi="en-US"/>
        </w:rPr>
        <w:t>、D四</w:t>
      </w:r>
      <w:r>
        <w:rPr>
          <w:rFonts w:hint="eastAsia" w:ascii="仿宋_GB2312" w:hAnsi="仿宋_GB2312" w:eastAsia="仿宋_GB2312" w:cs="仿宋_GB2312"/>
          <w:b w:val="0"/>
          <w:bCs w:val="0"/>
          <w:color w:val="000000"/>
          <w:spacing w:val="0"/>
          <w:w w:val="100"/>
          <w:position w:val="0"/>
          <w:sz w:val="32"/>
          <w:szCs w:val="32"/>
        </w:rPr>
        <w:t>等。其中总分值在95分（含）以上的，评定为</w:t>
      </w:r>
      <w:r>
        <w:rPr>
          <w:rFonts w:hint="eastAsia" w:ascii="仿宋_GB2312" w:hAnsi="仿宋_GB2312" w:eastAsia="仿宋_GB2312" w:cs="仿宋_GB2312"/>
          <w:b w:val="0"/>
          <w:bCs w:val="0"/>
          <w:color w:val="000000"/>
          <w:spacing w:val="0"/>
          <w:w w:val="100"/>
          <w:position w:val="0"/>
          <w:sz w:val="32"/>
          <w:szCs w:val="32"/>
          <w:lang w:val="en-US" w:eastAsia="en-US" w:bidi="en-US"/>
        </w:rPr>
        <w:t>A</w:t>
      </w:r>
      <w:r>
        <w:rPr>
          <w:rFonts w:hint="eastAsia" w:ascii="仿宋_GB2312" w:hAnsi="仿宋_GB2312" w:eastAsia="仿宋_GB2312" w:cs="仿宋_GB2312"/>
          <w:b w:val="0"/>
          <w:bCs w:val="0"/>
          <w:color w:val="000000"/>
          <w:spacing w:val="0"/>
          <w:w w:val="100"/>
          <w:position w:val="0"/>
          <w:sz w:val="32"/>
          <w:szCs w:val="32"/>
        </w:rPr>
        <w:t>级，表示信用很好；分值为85（含）-95分的（不含），评定为</w:t>
      </w:r>
      <w:r>
        <w:rPr>
          <w:rFonts w:hint="eastAsia" w:ascii="仿宋_GB2312" w:hAnsi="仿宋_GB2312" w:eastAsia="仿宋_GB2312" w:cs="仿宋_GB2312"/>
          <w:b w:val="0"/>
          <w:bCs w:val="0"/>
          <w:color w:val="000000"/>
          <w:spacing w:val="0"/>
          <w:w w:val="100"/>
          <w:position w:val="0"/>
          <w:sz w:val="32"/>
          <w:szCs w:val="32"/>
          <w:lang w:val="en-US" w:eastAsia="zh-CN"/>
        </w:rPr>
        <w:t>B</w:t>
      </w:r>
      <w:r>
        <w:rPr>
          <w:rFonts w:hint="eastAsia" w:ascii="仿宋_GB2312" w:hAnsi="仿宋_GB2312" w:eastAsia="仿宋_GB2312" w:cs="仿宋_GB2312"/>
          <w:b w:val="0"/>
          <w:bCs w:val="0"/>
          <w:color w:val="000000"/>
          <w:spacing w:val="0"/>
          <w:w w:val="100"/>
          <w:position w:val="0"/>
          <w:sz w:val="32"/>
          <w:szCs w:val="32"/>
        </w:rPr>
        <w:t>级，表示信用好；分值为75（含）-85分的（不含），评定为</w:t>
      </w:r>
      <w:r>
        <w:rPr>
          <w:rFonts w:hint="eastAsia" w:ascii="仿宋_GB2312" w:hAnsi="仿宋_GB2312" w:eastAsia="仿宋_GB2312" w:cs="仿宋_GB2312"/>
          <w:b w:val="0"/>
          <w:bCs w:val="0"/>
          <w:color w:val="000000"/>
          <w:spacing w:val="0"/>
          <w:w w:val="100"/>
          <w:position w:val="0"/>
          <w:sz w:val="32"/>
          <w:szCs w:val="32"/>
          <w:lang w:val="en-US" w:eastAsia="zh-CN"/>
        </w:rPr>
        <w:t>C</w:t>
      </w:r>
      <w:r>
        <w:rPr>
          <w:rFonts w:hint="eastAsia" w:ascii="仿宋_GB2312" w:hAnsi="仿宋_GB2312" w:eastAsia="仿宋_GB2312" w:cs="仿宋_GB2312"/>
          <w:b w:val="0"/>
          <w:bCs w:val="0"/>
          <w:color w:val="000000"/>
          <w:spacing w:val="0"/>
          <w:w w:val="100"/>
          <w:position w:val="0"/>
          <w:sz w:val="32"/>
          <w:szCs w:val="32"/>
        </w:rPr>
        <w:t>级，表示信用一般；分值为75分（不含）以下的，评定为</w:t>
      </w:r>
      <w:r>
        <w:rPr>
          <w:rFonts w:hint="eastAsia" w:ascii="仿宋_GB2312" w:hAnsi="仿宋_GB2312" w:eastAsia="仿宋_GB2312" w:cs="仿宋_GB2312"/>
          <w:b w:val="0"/>
          <w:bCs w:val="0"/>
          <w:color w:val="000000"/>
          <w:spacing w:val="0"/>
          <w:w w:val="100"/>
          <w:position w:val="0"/>
          <w:sz w:val="32"/>
          <w:szCs w:val="32"/>
          <w:lang w:val="en-US" w:eastAsia="zh-CN"/>
        </w:rPr>
        <w:t>D</w:t>
      </w:r>
      <w:r>
        <w:rPr>
          <w:rFonts w:hint="eastAsia" w:ascii="仿宋_GB2312" w:hAnsi="仿宋_GB2312" w:eastAsia="仿宋_GB2312" w:cs="仿宋_GB2312"/>
          <w:b w:val="0"/>
          <w:bCs w:val="0"/>
          <w:color w:val="000000"/>
          <w:spacing w:val="0"/>
          <w:w w:val="100"/>
          <w:position w:val="0"/>
          <w:sz w:val="32"/>
          <w:szCs w:val="32"/>
        </w:rPr>
        <w:t>级，表示信用差。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第七条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定点零售药店信用等级以</w:t>
      </w:r>
      <w:r>
        <w:rPr>
          <w:rFonts w:hint="eastAsia" w:ascii="仿宋_GB2312" w:hAnsi="仿宋_GB2312" w:eastAsia="仿宋_GB2312" w:cs="仿宋_GB2312"/>
          <w:b w:val="0"/>
          <w:bCs w:val="0"/>
          <w:color w:val="000000"/>
          <w:spacing w:val="0"/>
          <w:w w:val="100"/>
          <w:position w:val="0"/>
          <w:sz w:val="32"/>
          <w:szCs w:val="32"/>
          <w:lang w:val="en-US" w:eastAsia="zh-CN"/>
        </w:rPr>
        <w:t>周期</w:t>
      </w:r>
      <w:r>
        <w:rPr>
          <w:rFonts w:hint="eastAsia" w:ascii="仿宋_GB2312" w:hAnsi="仿宋_GB2312" w:eastAsia="仿宋_GB2312" w:cs="仿宋_GB2312"/>
          <w:b w:val="0"/>
          <w:bCs w:val="0"/>
          <w:color w:val="000000"/>
          <w:spacing w:val="0"/>
          <w:w w:val="100"/>
          <w:position w:val="0"/>
          <w:sz w:val="32"/>
          <w:szCs w:val="32"/>
        </w:rPr>
        <w:t>年度为评价周期，通过</w:t>
      </w:r>
      <w:r>
        <w:rPr>
          <w:rFonts w:hint="eastAsia" w:ascii="仿宋_GB2312" w:hAnsi="仿宋_GB2312" w:eastAsia="仿宋_GB2312" w:cs="仿宋_GB2312"/>
          <w:b w:val="0"/>
          <w:bCs w:val="0"/>
          <w:color w:val="000000"/>
          <w:spacing w:val="0"/>
          <w:w w:val="100"/>
          <w:position w:val="0"/>
          <w:sz w:val="32"/>
          <w:szCs w:val="32"/>
          <w:lang w:val="en-US" w:eastAsia="zh-CN"/>
        </w:rPr>
        <w:t>安徽省医疗保障信息平台信用评价管理子系统</w:t>
      </w:r>
      <w:r>
        <w:rPr>
          <w:rFonts w:hint="eastAsia" w:ascii="仿宋_GB2312" w:hAnsi="仿宋_GB2312" w:eastAsia="仿宋_GB2312" w:cs="仿宋_GB2312"/>
          <w:b w:val="0"/>
          <w:bCs w:val="0"/>
          <w:color w:val="000000"/>
          <w:spacing w:val="0"/>
          <w:w w:val="100"/>
          <w:position w:val="0"/>
          <w:sz w:val="32"/>
          <w:szCs w:val="32"/>
        </w:rPr>
        <w:t>进行动态维护，期末分数清零后进入下一周期。定点零售药店的信用信息涉及的情形未消除的，在下一周期重新参与评分。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第八条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医疗保障部门对定点零售药店的评价结果进行公示，公示期为5个工作日。定点零售药店对评价结果有异议的应在公示期内提出书面申诉，说明理由并提供相关证明材料。医疗保障部门应按规定对申诉进行调查核实，并于15个工作日内给予回复。</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第三章信用奖惩</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第九条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各级医疗保障部门根据评定信用等级情况，按照本章规定对不同信用等级的定点零售药店进行管理。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第十条</w:t>
      </w:r>
      <w:r>
        <w:rPr>
          <w:rFonts w:hint="eastAsia" w:ascii="仿宋_GB2312" w:hAnsi="仿宋_GB2312" w:eastAsia="仿宋_GB2312" w:cs="仿宋_GB2312"/>
          <w:b w:val="0"/>
          <w:bCs w:val="0"/>
          <w:color w:val="auto"/>
          <w:spacing w:val="0"/>
          <w:w w:val="100"/>
          <w:position w:val="0"/>
          <w:sz w:val="32"/>
          <w:szCs w:val="32"/>
          <w:lang w:val="en-US" w:eastAsia="zh-CN"/>
        </w:rPr>
        <w:t xml:space="preserve"> </w:t>
      </w:r>
      <w:r>
        <w:rPr>
          <w:rFonts w:hint="eastAsia" w:ascii="仿宋_GB2312" w:hAnsi="仿宋_GB2312" w:eastAsia="仿宋_GB2312" w:cs="仿宋_GB2312"/>
          <w:b w:val="0"/>
          <w:bCs w:val="0"/>
          <w:color w:val="auto"/>
          <w:spacing w:val="0"/>
          <w:w w:val="100"/>
          <w:position w:val="0"/>
          <w:sz w:val="32"/>
          <w:szCs w:val="32"/>
        </w:rPr>
        <w:t>对评为</w:t>
      </w:r>
      <w:r>
        <w:rPr>
          <w:rFonts w:hint="eastAsia" w:ascii="仿宋_GB2312" w:hAnsi="仿宋_GB2312" w:eastAsia="仿宋_GB2312" w:cs="仿宋_GB2312"/>
          <w:b w:val="0"/>
          <w:bCs w:val="0"/>
          <w:color w:val="auto"/>
          <w:spacing w:val="0"/>
          <w:w w:val="100"/>
          <w:position w:val="0"/>
          <w:sz w:val="32"/>
          <w:szCs w:val="32"/>
          <w:lang w:val="en-US" w:eastAsia="en-US" w:bidi="en-US"/>
        </w:rPr>
        <w:t>A</w:t>
      </w:r>
      <w:r>
        <w:rPr>
          <w:rFonts w:hint="eastAsia" w:ascii="仿宋_GB2312" w:hAnsi="仿宋_GB2312" w:eastAsia="仿宋_GB2312" w:cs="仿宋_GB2312"/>
          <w:b w:val="0"/>
          <w:bCs w:val="0"/>
          <w:color w:val="auto"/>
          <w:spacing w:val="0"/>
          <w:w w:val="100"/>
          <w:position w:val="0"/>
          <w:sz w:val="32"/>
          <w:szCs w:val="32"/>
        </w:rPr>
        <w:t>级的定点零售药店按下列规定进行管理：</w:t>
      </w:r>
    </w:p>
    <w:p>
      <w:pPr>
        <w:pStyle w:val="6"/>
        <w:keepNext w:val="0"/>
        <w:keepLines w:val="0"/>
        <w:pageBreakBefore w:val="0"/>
        <w:widowControl w:val="0"/>
        <w:shd w:val="clear" w:color="auto" w:fill="auto"/>
        <w:tabs>
          <w:tab w:val="left" w:pos="1536"/>
        </w:tabs>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color w:val="auto"/>
          <w:sz w:val="32"/>
          <w:szCs w:val="32"/>
        </w:rPr>
      </w:pPr>
      <w:bookmarkStart w:id="0" w:name="bookmark603"/>
      <w:r>
        <w:rPr>
          <w:rFonts w:hint="eastAsia" w:ascii="仿宋_GB2312" w:hAnsi="仿宋_GB2312" w:eastAsia="仿宋_GB2312" w:cs="仿宋_GB2312"/>
          <w:b w:val="0"/>
          <w:bCs w:val="0"/>
          <w:color w:val="auto"/>
          <w:spacing w:val="0"/>
          <w:w w:val="100"/>
          <w:position w:val="0"/>
          <w:sz w:val="32"/>
          <w:szCs w:val="32"/>
        </w:rPr>
        <w:t>（</w:t>
      </w:r>
      <w:bookmarkEnd w:id="0"/>
      <w:r>
        <w:rPr>
          <w:rFonts w:hint="eastAsia" w:ascii="仿宋_GB2312" w:hAnsi="仿宋_GB2312" w:eastAsia="仿宋_GB2312" w:cs="仿宋_GB2312"/>
          <w:b w:val="0"/>
          <w:bCs w:val="0"/>
          <w:color w:val="auto"/>
          <w:spacing w:val="0"/>
          <w:w w:val="100"/>
          <w:position w:val="0"/>
          <w:sz w:val="32"/>
          <w:szCs w:val="32"/>
          <w:lang w:val="en-US" w:eastAsia="zh-CN"/>
        </w:rPr>
        <w:t>一</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rPr>
        <w:tab/>
      </w:r>
      <w:r>
        <w:rPr>
          <w:rFonts w:hint="eastAsia" w:ascii="仿宋_GB2312" w:hAnsi="仿宋_GB2312" w:eastAsia="仿宋_GB2312" w:cs="仿宋_GB2312"/>
          <w:b w:val="0"/>
          <w:bCs w:val="0"/>
          <w:color w:val="auto"/>
          <w:spacing w:val="0"/>
          <w:w w:val="100"/>
          <w:position w:val="0"/>
          <w:sz w:val="32"/>
          <w:szCs w:val="32"/>
        </w:rPr>
        <w:t>优先纳入有统筹基金支付管理的定点药房；</w:t>
      </w:r>
    </w:p>
    <w:p>
      <w:pPr>
        <w:pStyle w:val="6"/>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color w:val="auto"/>
          <w:sz w:val="32"/>
          <w:szCs w:val="32"/>
        </w:rPr>
      </w:pPr>
      <w:bookmarkStart w:id="1" w:name="bookmark604"/>
      <w:r>
        <w:rPr>
          <w:rFonts w:hint="eastAsia" w:ascii="仿宋_GB2312" w:hAnsi="仿宋_GB2312" w:eastAsia="仿宋_GB2312" w:cs="仿宋_GB2312"/>
          <w:b w:val="0"/>
          <w:bCs w:val="0"/>
          <w:color w:val="auto"/>
          <w:spacing w:val="0"/>
          <w:w w:val="100"/>
          <w:position w:val="0"/>
          <w:sz w:val="32"/>
          <w:szCs w:val="32"/>
        </w:rPr>
        <w:t>（</w:t>
      </w:r>
      <w:bookmarkEnd w:id="1"/>
      <w:r>
        <w:rPr>
          <w:rFonts w:hint="eastAsia" w:ascii="仿宋_GB2312" w:hAnsi="仿宋_GB2312" w:eastAsia="仿宋_GB2312" w:cs="仿宋_GB2312"/>
          <w:b w:val="0"/>
          <w:bCs w:val="0"/>
          <w:color w:val="auto"/>
          <w:spacing w:val="0"/>
          <w:w w:val="100"/>
          <w:position w:val="0"/>
          <w:sz w:val="32"/>
          <w:szCs w:val="32"/>
          <w:lang w:val="en-US" w:eastAsia="zh-CN"/>
        </w:rPr>
        <w:t>二</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rPr>
        <w:tab/>
      </w:r>
      <w:r>
        <w:rPr>
          <w:rFonts w:hint="eastAsia" w:ascii="仿宋_GB2312" w:hAnsi="仿宋_GB2312" w:eastAsia="仿宋_GB2312" w:cs="仿宋_GB2312"/>
          <w:b w:val="0"/>
          <w:bCs w:val="0"/>
          <w:color w:val="auto"/>
          <w:spacing w:val="0"/>
          <w:w w:val="100"/>
          <w:position w:val="0"/>
          <w:sz w:val="32"/>
          <w:szCs w:val="32"/>
        </w:rPr>
        <w:t>降低日常检查频次，除根据投诉举报、大数据筛查、专项检查部署进行监督检查外，不另行对其开展检查；</w:t>
      </w:r>
    </w:p>
    <w:p>
      <w:pPr>
        <w:pStyle w:val="6"/>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color w:val="auto"/>
          <w:sz w:val="32"/>
          <w:szCs w:val="32"/>
        </w:rPr>
      </w:pPr>
      <w:bookmarkStart w:id="2" w:name="bookmark605"/>
      <w:r>
        <w:rPr>
          <w:rFonts w:hint="eastAsia" w:ascii="仿宋_GB2312" w:hAnsi="仿宋_GB2312" w:eastAsia="仿宋_GB2312" w:cs="仿宋_GB2312"/>
          <w:b w:val="0"/>
          <w:bCs w:val="0"/>
          <w:color w:val="auto"/>
          <w:spacing w:val="0"/>
          <w:w w:val="100"/>
          <w:position w:val="0"/>
          <w:sz w:val="32"/>
          <w:szCs w:val="32"/>
        </w:rPr>
        <w:t>（</w:t>
      </w:r>
      <w:bookmarkEnd w:id="2"/>
      <w:r>
        <w:rPr>
          <w:rFonts w:hint="eastAsia" w:ascii="仿宋_GB2312" w:hAnsi="仿宋_GB2312" w:eastAsia="仿宋_GB2312" w:cs="仿宋_GB2312"/>
          <w:b w:val="0"/>
          <w:bCs w:val="0"/>
          <w:color w:val="auto"/>
          <w:spacing w:val="0"/>
          <w:w w:val="100"/>
          <w:position w:val="0"/>
          <w:sz w:val="32"/>
          <w:szCs w:val="32"/>
          <w:lang w:val="en-US" w:eastAsia="zh-CN"/>
        </w:rPr>
        <w:t>三</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rPr>
        <w:tab/>
      </w:r>
      <w:r>
        <w:rPr>
          <w:rFonts w:hint="eastAsia" w:ascii="仿宋_GB2312" w:hAnsi="仿宋_GB2312" w:eastAsia="仿宋_GB2312" w:cs="仿宋_GB2312"/>
          <w:b w:val="0"/>
          <w:bCs w:val="0"/>
          <w:color w:val="auto"/>
          <w:spacing w:val="0"/>
          <w:w w:val="100"/>
          <w:position w:val="0"/>
          <w:sz w:val="32"/>
          <w:szCs w:val="32"/>
        </w:rPr>
        <w:t>通过各级医疗保障官方网站及其他媒体向社会宣传守信定点零售药店；</w:t>
      </w:r>
    </w:p>
    <w:p>
      <w:pPr>
        <w:pStyle w:val="6"/>
        <w:keepNext w:val="0"/>
        <w:keepLines w:val="0"/>
        <w:pageBreakBefore w:val="0"/>
        <w:widowControl w:val="0"/>
        <w:shd w:val="clear" w:color="auto" w:fill="auto"/>
        <w:tabs>
          <w:tab w:val="left" w:pos="1536"/>
        </w:tabs>
        <w:kinsoku/>
        <w:wordWrap/>
        <w:overflowPunct/>
        <w:topLinePunct w:val="0"/>
        <w:autoSpaceDE/>
        <w:autoSpaceDN/>
        <w:bidi w:val="0"/>
        <w:adjustRightInd/>
        <w:snapToGrid/>
        <w:spacing w:before="0" w:after="0" w:line="560" w:lineRule="exact"/>
        <w:ind w:left="0" w:right="0" w:firstLine="620"/>
        <w:jc w:val="left"/>
        <w:textAlignment w:val="auto"/>
        <w:rPr>
          <w:rFonts w:hint="eastAsia" w:ascii="仿宋_GB2312" w:hAnsi="仿宋_GB2312" w:eastAsia="仿宋_GB2312" w:cs="仿宋_GB2312"/>
          <w:b w:val="0"/>
          <w:bCs w:val="0"/>
          <w:color w:val="auto"/>
          <w:sz w:val="32"/>
          <w:szCs w:val="32"/>
        </w:rPr>
      </w:pPr>
      <w:bookmarkStart w:id="3" w:name="bookmark606"/>
      <w:r>
        <w:rPr>
          <w:rFonts w:hint="eastAsia" w:ascii="仿宋_GB2312" w:hAnsi="仿宋_GB2312" w:eastAsia="仿宋_GB2312" w:cs="仿宋_GB2312"/>
          <w:b w:val="0"/>
          <w:bCs w:val="0"/>
          <w:color w:val="auto"/>
          <w:spacing w:val="0"/>
          <w:w w:val="100"/>
          <w:position w:val="0"/>
          <w:sz w:val="32"/>
          <w:szCs w:val="32"/>
        </w:rPr>
        <w:t>（</w:t>
      </w:r>
      <w:bookmarkEnd w:id="3"/>
      <w:r>
        <w:rPr>
          <w:rFonts w:hint="eastAsia" w:ascii="仿宋_GB2312" w:hAnsi="仿宋_GB2312" w:eastAsia="仿宋_GB2312" w:cs="仿宋_GB2312"/>
          <w:b w:val="0"/>
          <w:bCs w:val="0"/>
          <w:color w:val="auto"/>
          <w:spacing w:val="0"/>
          <w:w w:val="100"/>
          <w:position w:val="0"/>
          <w:sz w:val="32"/>
          <w:szCs w:val="32"/>
          <w:lang w:val="en-US" w:eastAsia="zh-CN"/>
        </w:rPr>
        <w:t>四</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rPr>
        <w:tab/>
      </w:r>
      <w:r>
        <w:rPr>
          <w:rFonts w:hint="eastAsia" w:ascii="仿宋_GB2312" w:hAnsi="仿宋_GB2312" w:eastAsia="仿宋_GB2312" w:cs="仿宋_GB2312"/>
          <w:b w:val="0"/>
          <w:bCs w:val="0"/>
          <w:color w:val="auto"/>
          <w:spacing w:val="0"/>
          <w:w w:val="100"/>
          <w:position w:val="0"/>
          <w:sz w:val="32"/>
          <w:szCs w:val="32"/>
        </w:rPr>
        <w:t>其他鼓励性措施。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第十一条对评为</w:t>
      </w:r>
      <w:r>
        <w:rPr>
          <w:rFonts w:hint="eastAsia" w:ascii="仿宋_GB2312" w:hAnsi="仿宋_GB2312" w:eastAsia="仿宋_GB2312" w:cs="仿宋_GB2312"/>
          <w:b w:val="0"/>
          <w:bCs w:val="0"/>
          <w:color w:val="auto"/>
          <w:spacing w:val="0"/>
          <w:w w:val="100"/>
          <w:position w:val="0"/>
          <w:sz w:val="32"/>
          <w:szCs w:val="32"/>
          <w:lang w:val="en-US" w:eastAsia="zh-CN"/>
        </w:rPr>
        <w:t>B</w:t>
      </w:r>
      <w:r>
        <w:rPr>
          <w:rFonts w:hint="eastAsia" w:ascii="仿宋_GB2312" w:hAnsi="仿宋_GB2312" w:eastAsia="仿宋_GB2312" w:cs="仿宋_GB2312"/>
          <w:b w:val="0"/>
          <w:bCs w:val="0"/>
          <w:color w:val="auto"/>
          <w:spacing w:val="0"/>
          <w:w w:val="100"/>
          <w:position w:val="0"/>
          <w:sz w:val="32"/>
          <w:szCs w:val="32"/>
        </w:rPr>
        <w:t>级的定点零售药店按下列规定进行管理：</w:t>
      </w:r>
    </w:p>
    <w:p>
      <w:pPr>
        <w:pStyle w:val="6"/>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采取日常检查和专项检查相结合的方式开展监督检查。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58"/>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第十二条对评为</w:t>
      </w:r>
      <w:r>
        <w:rPr>
          <w:rFonts w:hint="eastAsia" w:ascii="仿宋_GB2312" w:hAnsi="仿宋_GB2312" w:eastAsia="仿宋_GB2312" w:cs="仿宋_GB2312"/>
          <w:b w:val="0"/>
          <w:bCs w:val="0"/>
          <w:color w:val="auto"/>
          <w:spacing w:val="0"/>
          <w:w w:val="100"/>
          <w:position w:val="0"/>
          <w:sz w:val="32"/>
          <w:szCs w:val="32"/>
          <w:lang w:val="en-US" w:eastAsia="zh-CN"/>
        </w:rPr>
        <w:t>C</w:t>
      </w:r>
      <w:r>
        <w:rPr>
          <w:rFonts w:hint="eastAsia" w:ascii="仿宋_GB2312" w:hAnsi="仿宋_GB2312" w:eastAsia="仿宋_GB2312" w:cs="仿宋_GB2312"/>
          <w:b w:val="0"/>
          <w:bCs w:val="0"/>
          <w:color w:val="auto"/>
          <w:spacing w:val="0"/>
          <w:w w:val="100"/>
          <w:position w:val="0"/>
          <w:sz w:val="32"/>
          <w:szCs w:val="32"/>
        </w:rPr>
        <w:t>级的定点零售药店按下列规定进行管理：</w:t>
      </w:r>
    </w:p>
    <w:p>
      <w:pPr>
        <w:pStyle w:val="6"/>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采取日常检查、定期检查和专项检查相结合的方式开展监督检查，加强医保服务定点管理。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第十三条对评为</w:t>
      </w:r>
      <w:r>
        <w:rPr>
          <w:rFonts w:hint="eastAsia" w:ascii="仿宋_GB2312" w:hAnsi="仿宋_GB2312" w:eastAsia="仿宋_GB2312" w:cs="仿宋_GB2312"/>
          <w:b w:val="0"/>
          <w:bCs w:val="0"/>
          <w:color w:val="auto"/>
          <w:spacing w:val="0"/>
          <w:w w:val="100"/>
          <w:position w:val="0"/>
          <w:sz w:val="32"/>
          <w:szCs w:val="32"/>
          <w:lang w:val="en-US" w:eastAsia="zh-CN"/>
        </w:rPr>
        <w:t>D</w:t>
      </w:r>
      <w:r>
        <w:rPr>
          <w:rFonts w:hint="eastAsia" w:ascii="仿宋_GB2312" w:hAnsi="仿宋_GB2312" w:eastAsia="仿宋_GB2312" w:cs="仿宋_GB2312"/>
          <w:b w:val="0"/>
          <w:bCs w:val="0"/>
          <w:color w:val="auto"/>
          <w:spacing w:val="0"/>
          <w:w w:val="100"/>
          <w:position w:val="0"/>
          <w:sz w:val="32"/>
          <w:szCs w:val="32"/>
        </w:rPr>
        <w:t>级的定点零售药店按下列规定进行管理：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列入重点监管对象，加大监管频次，强化定点零售药店服务人员身份核验管理。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rPr>
        <w:t>第十</w:t>
      </w:r>
      <w:r>
        <w:rPr>
          <w:rFonts w:hint="eastAsia" w:ascii="仿宋_GB2312" w:hAnsi="仿宋_GB2312" w:eastAsia="仿宋_GB2312" w:cs="仿宋_GB2312"/>
          <w:b w:val="0"/>
          <w:bCs w:val="0"/>
          <w:color w:val="auto"/>
          <w:spacing w:val="0"/>
          <w:w w:val="100"/>
          <w:position w:val="0"/>
          <w:sz w:val="32"/>
          <w:szCs w:val="32"/>
          <w:lang w:val="en-US" w:eastAsia="zh-CN"/>
        </w:rPr>
        <w:t>四</w:t>
      </w:r>
      <w:r>
        <w:rPr>
          <w:rFonts w:hint="eastAsia" w:ascii="仿宋_GB2312" w:hAnsi="仿宋_GB2312" w:eastAsia="仿宋_GB2312" w:cs="仿宋_GB2312"/>
          <w:b w:val="0"/>
          <w:bCs w:val="0"/>
          <w:color w:val="auto"/>
          <w:spacing w:val="0"/>
          <w:w w:val="100"/>
          <w:position w:val="0"/>
          <w:sz w:val="32"/>
          <w:szCs w:val="32"/>
        </w:rPr>
        <w:t>条</w:t>
      </w:r>
      <w:r>
        <w:rPr>
          <w:rFonts w:hint="eastAsia" w:ascii="仿宋_GB2312" w:hAnsi="仿宋_GB2312" w:eastAsia="仿宋_GB2312" w:cs="仿宋_GB2312"/>
          <w:b w:val="0"/>
          <w:bCs w:val="0"/>
          <w:color w:val="auto"/>
          <w:spacing w:val="0"/>
          <w:w w:val="100"/>
          <w:position w:val="0"/>
          <w:sz w:val="32"/>
          <w:szCs w:val="32"/>
          <w:lang w:val="en-US" w:eastAsia="zh-CN"/>
        </w:rPr>
        <w:t xml:space="preserve"> </w:t>
      </w:r>
      <w:r>
        <w:rPr>
          <w:rFonts w:hint="eastAsia" w:ascii="仿宋_GB2312" w:hAnsi="仿宋_GB2312" w:eastAsia="仿宋_GB2312" w:cs="仿宋_GB2312"/>
          <w:b w:val="0"/>
          <w:bCs w:val="0"/>
          <w:color w:val="auto"/>
          <w:spacing w:val="0"/>
          <w:w w:val="100"/>
          <w:position w:val="0"/>
          <w:sz w:val="32"/>
          <w:szCs w:val="32"/>
        </w:rPr>
        <w:t>建立医保信用红黑名单制度。</w:t>
      </w:r>
      <w:r>
        <w:rPr>
          <w:rFonts w:hint="eastAsia" w:ascii="仿宋_GB2312" w:hAnsi="仿宋_GB2312" w:eastAsia="仿宋_GB2312" w:cs="仿宋_GB2312"/>
          <w:b w:val="0"/>
          <w:bCs w:val="0"/>
          <w:color w:val="auto"/>
          <w:spacing w:val="0"/>
          <w:w w:val="100"/>
          <w:position w:val="0"/>
          <w:sz w:val="32"/>
          <w:szCs w:val="32"/>
          <w:lang w:val="en-US" w:eastAsia="zh-CN"/>
        </w:rPr>
        <w:t>定点零售药店在一个评价周期内无扣分记录的进入红名单，</w:t>
      </w:r>
      <w:r>
        <w:rPr>
          <w:rFonts w:hint="eastAsia" w:ascii="仿宋_GB2312" w:hAnsi="仿宋_GB2312" w:eastAsia="仿宋_GB2312" w:cs="仿宋_GB2312"/>
          <w:b w:val="0"/>
          <w:bCs w:val="0"/>
          <w:color w:val="auto"/>
          <w:spacing w:val="0"/>
          <w:w w:val="100"/>
          <w:position w:val="0"/>
          <w:sz w:val="32"/>
          <w:szCs w:val="32"/>
        </w:rPr>
        <w:t>信用评价结果</w:t>
      </w:r>
      <w:r>
        <w:rPr>
          <w:rFonts w:hint="eastAsia" w:ascii="仿宋_GB2312" w:hAnsi="仿宋_GB2312" w:eastAsia="仿宋_GB2312" w:cs="仿宋_GB2312"/>
          <w:b w:val="0"/>
          <w:bCs w:val="0"/>
          <w:color w:val="auto"/>
          <w:spacing w:val="0"/>
          <w:w w:val="100"/>
          <w:position w:val="0"/>
          <w:sz w:val="32"/>
          <w:szCs w:val="32"/>
          <w:lang w:val="en-US" w:eastAsia="zh-CN"/>
        </w:rPr>
        <w:t>为</w:t>
      </w:r>
      <w:r>
        <w:rPr>
          <w:rFonts w:hint="eastAsia" w:ascii="仿宋_GB2312" w:hAnsi="仿宋_GB2312" w:eastAsia="仿宋_GB2312" w:cs="仿宋_GB2312"/>
          <w:b w:val="0"/>
          <w:bCs w:val="0"/>
          <w:color w:val="auto"/>
          <w:spacing w:val="0"/>
          <w:w w:val="100"/>
          <w:position w:val="0"/>
          <w:sz w:val="32"/>
          <w:szCs w:val="32"/>
          <w:lang w:val="en-US" w:eastAsia="zh-CN" w:bidi="en-US"/>
        </w:rPr>
        <w:t>D的进入黑名单，并定期将名单共享至信用中国（安徽芜湖）平台。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第四章附则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sz w:val="32"/>
          <w:szCs w:val="32"/>
        </w:rPr>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1900" w:h="16840"/>
          <w:pgMar w:top="1624" w:right="1371" w:bottom="1782" w:left="1481" w:header="0" w:footer="3" w:gutter="0"/>
          <w:pgBorders>
            <w:top w:val="none" w:sz="0" w:space="0"/>
            <w:left w:val="none" w:sz="0" w:space="0"/>
            <w:bottom w:val="none" w:sz="0" w:space="0"/>
            <w:right w:val="none" w:sz="0" w:space="0"/>
          </w:pgBorders>
          <w:cols w:space="720" w:num="1"/>
          <w:titlePg/>
          <w:rtlGutter w:val="0"/>
          <w:docGrid w:linePitch="360" w:charSpace="0"/>
        </w:sectPr>
      </w:pPr>
      <w:r>
        <w:rPr>
          <w:rFonts w:hint="eastAsia" w:ascii="仿宋_GB2312" w:hAnsi="仿宋_GB2312" w:eastAsia="仿宋_GB2312" w:cs="仿宋_GB2312"/>
          <w:b w:val="0"/>
          <w:bCs w:val="0"/>
          <w:color w:val="000000"/>
          <w:spacing w:val="0"/>
          <w:w w:val="100"/>
          <w:position w:val="0"/>
          <w:sz w:val="32"/>
          <w:szCs w:val="32"/>
        </w:rPr>
        <w:t>第</w:t>
      </w:r>
      <w:r>
        <w:rPr>
          <w:rFonts w:hint="eastAsia" w:ascii="仿宋_GB2312" w:hAnsi="仿宋_GB2312" w:eastAsia="仿宋_GB2312" w:cs="仿宋_GB2312"/>
          <w:b w:val="0"/>
          <w:bCs w:val="0"/>
          <w:color w:val="000000"/>
          <w:spacing w:val="0"/>
          <w:w w:val="100"/>
          <w:position w:val="0"/>
          <w:sz w:val="32"/>
          <w:szCs w:val="32"/>
          <w:lang w:val="en-US" w:eastAsia="zh-CN"/>
        </w:rPr>
        <w:t xml:space="preserve">十五 </w:t>
      </w:r>
      <w:r>
        <w:rPr>
          <w:rFonts w:hint="eastAsia" w:ascii="仿宋_GB2312" w:hAnsi="仿宋_GB2312" w:eastAsia="仿宋_GB2312" w:cs="仿宋_GB2312"/>
          <w:b w:val="0"/>
          <w:bCs w:val="0"/>
          <w:color w:val="000000"/>
          <w:spacing w:val="0"/>
          <w:w w:val="100"/>
          <w:position w:val="0"/>
          <w:sz w:val="32"/>
          <w:szCs w:val="32"/>
        </w:rPr>
        <w:t>条医疗保障部门建立定点零售药店信用档案，公布定点零售药店的信用等级评定情况，并提供查询服务。</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第</w:t>
      </w:r>
      <w:r>
        <w:rPr>
          <w:rFonts w:hint="eastAsia" w:ascii="仿宋_GB2312" w:hAnsi="仿宋_GB2312" w:eastAsia="仿宋_GB2312" w:cs="仿宋_GB2312"/>
          <w:b w:val="0"/>
          <w:bCs w:val="0"/>
          <w:color w:val="000000"/>
          <w:spacing w:val="0"/>
          <w:w w:val="100"/>
          <w:position w:val="0"/>
          <w:sz w:val="32"/>
          <w:szCs w:val="32"/>
          <w:lang w:val="en-US" w:eastAsia="zh-CN"/>
        </w:rPr>
        <w:t>十六</w:t>
      </w:r>
      <w:r>
        <w:rPr>
          <w:rFonts w:hint="eastAsia" w:ascii="仿宋_GB2312" w:hAnsi="仿宋_GB2312" w:eastAsia="仿宋_GB2312" w:cs="仿宋_GB2312"/>
          <w:b w:val="0"/>
          <w:bCs w:val="0"/>
          <w:color w:val="000000"/>
          <w:spacing w:val="0"/>
          <w:w w:val="100"/>
          <w:position w:val="0"/>
          <w:sz w:val="32"/>
          <w:szCs w:val="32"/>
        </w:rPr>
        <w:t>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本</w:t>
      </w:r>
      <w:r>
        <w:rPr>
          <w:rFonts w:hint="eastAsia" w:ascii="仿宋_GB2312" w:hAnsi="仿宋_GB2312" w:eastAsia="仿宋_GB2312" w:cs="仿宋_GB2312"/>
          <w:color w:val="000000"/>
          <w:spacing w:val="0"/>
          <w:w w:val="100"/>
          <w:position w:val="0"/>
          <w:sz w:val="32"/>
          <w:szCs w:val="32"/>
          <w:lang w:val="en-US" w:eastAsia="zh-CN"/>
        </w:rPr>
        <w:t>实施细则</w:t>
      </w:r>
      <w:r>
        <w:rPr>
          <w:rFonts w:hint="eastAsia" w:ascii="仿宋_GB2312" w:hAnsi="仿宋_GB2312" w:eastAsia="仿宋_GB2312" w:cs="仿宋_GB2312"/>
          <w:b w:val="0"/>
          <w:bCs w:val="0"/>
          <w:color w:val="000000"/>
          <w:spacing w:val="0"/>
          <w:w w:val="100"/>
          <w:position w:val="0"/>
          <w:sz w:val="32"/>
          <w:szCs w:val="32"/>
        </w:rPr>
        <w:t>由</w:t>
      </w:r>
      <w:r>
        <w:rPr>
          <w:rFonts w:hint="eastAsia" w:ascii="仿宋_GB2312" w:hAnsi="仿宋_GB2312" w:eastAsia="仿宋_GB2312" w:cs="仿宋_GB2312"/>
          <w:b w:val="0"/>
          <w:bCs w:val="0"/>
          <w:color w:val="000000"/>
          <w:spacing w:val="0"/>
          <w:w w:val="100"/>
          <w:position w:val="0"/>
          <w:sz w:val="32"/>
          <w:szCs w:val="32"/>
          <w:lang w:eastAsia="zh-CN"/>
        </w:rPr>
        <w:t>芜湖</w:t>
      </w:r>
      <w:r>
        <w:rPr>
          <w:rFonts w:hint="eastAsia" w:ascii="仿宋_GB2312" w:hAnsi="仿宋_GB2312" w:eastAsia="仿宋_GB2312" w:cs="仿宋_GB2312"/>
          <w:b w:val="0"/>
          <w:bCs w:val="0"/>
          <w:color w:val="000000"/>
          <w:spacing w:val="0"/>
          <w:w w:val="100"/>
          <w:position w:val="0"/>
          <w:sz w:val="32"/>
          <w:szCs w:val="32"/>
        </w:rPr>
        <w:t>市医疗保障局负责解释。</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第</w:t>
      </w:r>
      <w:r>
        <w:rPr>
          <w:rFonts w:hint="eastAsia" w:ascii="仿宋_GB2312" w:hAnsi="仿宋_GB2312" w:eastAsia="仿宋_GB2312" w:cs="仿宋_GB2312"/>
          <w:b w:val="0"/>
          <w:bCs w:val="0"/>
          <w:color w:val="000000"/>
          <w:spacing w:val="0"/>
          <w:w w:val="100"/>
          <w:position w:val="0"/>
          <w:sz w:val="32"/>
          <w:szCs w:val="32"/>
          <w:lang w:val="en-US" w:eastAsia="zh-CN"/>
        </w:rPr>
        <w:t>十七</w:t>
      </w:r>
      <w:r>
        <w:rPr>
          <w:rFonts w:hint="eastAsia" w:ascii="仿宋_GB2312" w:hAnsi="仿宋_GB2312" w:eastAsia="仿宋_GB2312" w:cs="仿宋_GB2312"/>
          <w:b w:val="0"/>
          <w:bCs w:val="0"/>
          <w:color w:val="000000"/>
          <w:spacing w:val="0"/>
          <w:w w:val="100"/>
          <w:position w:val="0"/>
          <w:sz w:val="32"/>
          <w:szCs w:val="32"/>
        </w:rPr>
        <w:t>条</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本</w:t>
      </w:r>
      <w:r>
        <w:rPr>
          <w:rFonts w:hint="eastAsia" w:ascii="仿宋_GB2312" w:hAnsi="仿宋_GB2312" w:eastAsia="仿宋_GB2312" w:cs="仿宋_GB2312"/>
          <w:color w:val="000000"/>
          <w:spacing w:val="0"/>
          <w:w w:val="100"/>
          <w:position w:val="0"/>
          <w:sz w:val="32"/>
          <w:szCs w:val="32"/>
          <w:lang w:val="en-US" w:eastAsia="zh-CN"/>
        </w:rPr>
        <w:t>实施细则</w:t>
      </w:r>
      <w:bookmarkStart w:id="13" w:name="_GoBack"/>
      <w:bookmarkEnd w:id="13"/>
      <w:r>
        <w:rPr>
          <w:rFonts w:hint="eastAsia" w:ascii="仿宋_GB2312" w:hAnsi="仿宋_GB2312" w:eastAsia="仿宋_GB2312" w:cs="仿宋_GB2312"/>
          <w:b w:val="0"/>
          <w:bCs w:val="0"/>
          <w:color w:val="000000"/>
          <w:spacing w:val="0"/>
          <w:w w:val="100"/>
          <w:position w:val="0"/>
          <w:sz w:val="32"/>
          <w:szCs w:val="32"/>
        </w:rPr>
        <w:t>自</w:t>
      </w:r>
      <w:r>
        <w:rPr>
          <w:rFonts w:hint="eastAsia" w:ascii="仿宋_GB2312" w:hAnsi="仿宋_GB2312" w:eastAsia="仿宋_GB2312" w:cs="仿宋_GB2312"/>
          <w:b w:val="0"/>
          <w:bCs w:val="0"/>
          <w:color w:val="000000"/>
          <w:spacing w:val="0"/>
          <w:w w:val="100"/>
          <w:position w:val="0"/>
          <w:sz w:val="32"/>
          <w:szCs w:val="32"/>
          <w:lang w:val="en-US" w:eastAsia="zh-CN"/>
        </w:rPr>
        <w:t>2022</w:t>
      </w:r>
      <w:r>
        <w:rPr>
          <w:rFonts w:hint="eastAsia" w:ascii="仿宋_GB2312" w:hAnsi="仿宋_GB2312" w:eastAsia="仿宋_GB2312" w:cs="仿宋_GB2312"/>
          <w:b w:val="0"/>
          <w:bCs w:val="0"/>
          <w:color w:val="000000"/>
          <w:spacing w:val="0"/>
          <w:w w:val="100"/>
          <w:position w:val="0"/>
          <w:sz w:val="32"/>
          <w:szCs w:val="32"/>
        </w:rPr>
        <w:t>年</w:t>
      </w:r>
      <w:r>
        <w:rPr>
          <w:rFonts w:hint="eastAsia" w:ascii="仿宋_GB2312" w:hAnsi="仿宋_GB2312" w:eastAsia="仿宋_GB2312" w:cs="仿宋_GB2312"/>
          <w:b w:val="0"/>
          <w:bCs w:val="0"/>
          <w:color w:val="000000"/>
          <w:spacing w:val="0"/>
          <w:w w:val="100"/>
          <w:position w:val="0"/>
          <w:sz w:val="32"/>
          <w:szCs w:val="32"/>
          <w:lang w:val="en-US" w:eastAsia="zh-CN"/>
        </w:rPr>
        <w:t>XX</w:t>
      </w:r>
      <w:r>
        <w:rPr>
          <w:rFonts w:hint="eastAsia" w:ascii="仿宋_GB2312" w:hAnsi="仿宋_GB2312" w:eastAsia="仿宋_GB2312" w:cs="仿宋_GB2312"/>
          <w:b w:val="0"/>
          <w:bCs w:val="0"/>
          <w:color w:val="000000"/>
          <w:spacing w:val="0"/>
          <w:w w:val="100"/>
          <w:position w:val="0"/>
          <w:sz w:val="32"/>
          <w:szCs w:val="32"/>
        </w:rPr>
        <w:t>月</w:t>
      </w:r>
      <w:r>
        <w:rPr>
          <w:rFonts w:hint="eastAsia" w:ascii="仿宋_GB2312" w:hAnsi="仿宋_GB2312" w:eastAsia="仿宋_GB2312" w:cs="仿宋_GB2312"/>
          <w:b w:val="0"/>
          <w:bCs w:val="0"/>
          <w:color w:val="000000"/>
          <w:spacing w:val="0"/>
          <w:w w:val="100"/>
          <w:position w:val="0"/>
          <w:sz w:val="32"/>
          <w:szCs w:val="32"/>
          <w:lang w:val="en-US" w:eastAsia="zh-CN"/>
        </w:rPr>
        <w:t>XX</w:t>
      </w:r>
      <w:r>
        <w:rPr>
          <w:rFonts w:hint="eastAsia" w:ascii="仿宋_GB2312" w:hAnsi="仿宋_GB2312" w:eastAsia="仿宋_GB2312" w:cs="仿宋_GB2312"/>
          <w:b w:val="0"/>
          <w:bCs w:val="0"/>
          <w:color w:val="000000"/>
          <w:spacing w:val="0"/>
          <w:w w:val="100"/>
          <w:position w:val="0"/>
          <w:sz w:val="32"/>
          <w:szCs w:val="32"/>
        </w:rPr>
        <w:t>日起实施。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598" w:leftChars="266" w:right="0" w:hanging="960" w:hangingChars="300"/>
        <w:jc w:val="left"/>
        <w:textAlignment w:val="auto"/>
        <w:rPr>
          <w:rFonts w:hint="eastAsia" w:ascii="仿宋_GB2312" w:hAnsi="仿宋_GB2312" w:eastAsia="仿宋_GB2312" w:cs="仿宋_GB2312"/>
          <w:b w:val="0"/>
          <w:bCs w:val="0"/>
          <w:sz w:val="32"/>
          <w:szCs w:val="32"/>
        </w:rPr>
        <w:sectPr>
          <w:headerReference r:id="rId11" w:type="default"/>
          <w:footerReference r:id="rId13" w:type="default"/>
          <w:headerReference r:id="rId12" w:type="even"/>
          <w:footerReference r:id="rId14" w:type="even"/>
          <w:footnotePr>
            <w:numFmt w:val="decimal"/>
          </w:footnotePr>
          <w:type w:val="continuous"/>
          <w:pgSz w:w="11900" w:h="16840"/>
          <w:pgMar w:top="1624" w:right="1371" w:bottom="1782" w:left="1481" w:header="1196"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_GB2312" w:hAnsi="仿宋_GB2312" w:eastAsia="仿宋_GB2312" w:cs="仿宋_GB2312"/>
          <w:b w:val="0"/>
          <w:bCs w:val="0"/>
          <w:color w:val="000000"/>
          <w:spacing w:val="0"/>
          <w:w w:val="100"/>
          <w:position w:val="0"/>
          <w:sz w:val="32"/>
          <w:szCs w:val="32"/>
        </w:rPr>
        <w:t>附件：</w:t>
      </w:r>
      <w:r>
        <w:rPr>
          <w:rFonts w:hint="eastAsia" w:ascii="仿宋_GB2312" w:hAnsi="仿宋_GB2312" w:eastAsia="仿宋_GB2312" w:cs="仿宋_GB2312"/>
          <w:b w:val="0"/>
          <w:bCs w:val="0"/>
          <w:color w:val="000000"/>
          <w:spacing w:val="0"/>
          <w:w w:val="100"/>
          <w:position w:val="0"/>
          <w:sz w:val="32"/>
          <w:szCs w:val="32"/>
          <w:lang w:eastAsia="zh-CN"/>
        </w:rPr>
        <w:t>芜湖</w:t>
      </w:r>
      <w:r>
        <w:rPr>
          <w:rFonts w:hint="eastAsia" w:ascii="仿宋_GB2312" w:hAnsi="仿宋_GB2312" w:eastAsia="仿宋_GB2312" w:cs="仿宋_GB2312"/>
          <w:b w:val="0"/>
          <w:bCs w:val="0"/>
          <w:color w:val="000000"/>
          <w:spacing w:val="0"/>
          <w:w w:val="100"/>
          <w:position w:val="0"/>
          <w:sz w:val="32"/>
          <w:szCs w:val="32"/>
        </w:rPr>
        <w:t>市医疗保障基金监管信用评价指标操作手册（定点零售药店）</w:t>
      </w:r>
    </w:p>
    <w:p>
      <w:pPr>
        <w:pStyle w:val="6"/>
        <w:keepNext w:val="0"/>
        <w:keepLines w:val="0"/>
        <w:pageBreakBefore w:val="0"/>
        <w:widowControl w:val="0"/>
        <w:shd w:val="clear" w:color="auto" w:fill="auto"/>
        <w:kinsoku/>
        <w:wordWrap/>
        <w:overflowPunct/>
        <w:topLinePunct w:val="0"/>
        <w:autoSpaceDE/>
        <w:autoSpaceDN/>
        <w:bidi w:val="0"/>
        <w:adjustRightInd/>
        <w:snapToGrid/>
        <w:spacing w:before="140" w:after="580" w:line="560" w:lineRule="exact"/>
        <w:ind w:left="0" w:right="0" w:firstLine="0"/>
        <w:jc w:val="both"/>
        <w:textAlignment w:val="auto"/>
        <w:rPr>
          <w:rFonts w:hint="eastAsia" w:ascii="黑体" w:hAnsi="黑体" w:eastAsia="黑体" w:cs="黑体"/>
          <w:sz w:val="32"/>
          <w:szCs w:val="32"/>
          <w:lang w:eastAsia="zh-CN"/>
        </w:rPr>
      </w:pPr>
      <w:r>
        <w:rPr>
          <w:rFonts w:hint="eastAsia" w:ascii="黑体" w:hAnsi="黑体" w:eastAsia="黑体" w:cs="黑体"/>
          <w:color w:val="000000"/>
          <w:spacing w:val="0"/>
          <w:w w:val="100"/>
          <w:position w:val="0"/>
          <w:sz w:val="32"/>
          <w:szCs w:val="32"/>
        </w:rPr>
        <w:t>附件</w:t>
      </w:r>
      <w:r>
        <w:rPr>
          <w:rFonts w:hint="eastAsia" w:ascii="黑体" w:hAnsi="黑体" w:eastAsia="黑体" w:cs="黑体"/>
          <w:color w:val="000000"/>
          <w:spacing w:val="0"/>
          <w:w w:val="100"/>
          <w:position w:val="0"/>
          <w:sz w:val="32"/>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芜湖</w:t>
      </w:r>
      <w:r>
        <w:rPr>
          <w:rFonts w:hint="eastAsia" w:ascii="方正小标宋简体" w:hAnsi="方正小标宋简体" w:eastAsia="方正小标宋简体" w:cs="方正小标宋简体"/>
          <w:b w:val="0"/>
          <w:bCs w:val="0"/>
          <w:color w:val="000000"/>
          <w:spacing w:val="0"/>
          <w:w w:val="100"/>
          <w:position w:val="0"/>
          <w:sz w:val="44"/>
          <w:szCs w:val="44"/>
        </w:rPr>
        <w:t>市医疗保障基金监管信用评价</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指标操作手册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58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（定点零售药店）</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指标选取原则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lang w:eastAsia="zh-CN"/>
        </w:rPr>
        <w:t>芜湖</w:t>
      </w:r>
      <w:r>
        <w:rPr>
          <w:rFonts w:hint="eastAsia" w:ascii="仿宋_GB2312" w:hAnsi="仿宋_GB2312" w:eastAsia="仿宋_GB2312" w:cs="仿宋_GB2312"/>
          <w:color w:val="000000"/>
          <w:spacing w:val="0"/>
          <w:w w:val="100"/>
          <w:position w:val="0"/>
          <w:sz w:val="32"/>
          <w:szCs w:val="32"/>
        </w:rPr>
        <w:t>市医疗保障基金监管信用评价指标选取本着聚焦监管、覆盖全面、优化选取、采集便捷的四项原则，为方便统计计算单项指标采用百分制评分，总分共100分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highlight w:val="none"/>
          <w:lang w:val="en-US" w:eastAsia="zh-CN"/>
        </w:rPr>
        <w:t>同一加减分行为不重复加减分，以加减分多的权重为先</w:t>
      </w:r>
      <w:r>
        <w:rPr>
          <w:rFonts w:hint="eastAsia" w:ascii="仿宋_GB2312" w:hAnsi="仿宋_GB2312" w:eastAsia="仿宋_GB2312" w:cs="仿宋_GB2312"/>
          <w:color w:val="000000"/>
          <w:spacing w:val="0"/>
          <w:w w:val="100"/>
          <w:position w:val="0"/>
          <w:sz w:val="32"/>
          <w:szCs w:val="32"/>
          <w:highlight w:val="none"/>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原则一：聚焦监管。医保信用体系评价聚焦合理使用医保基金，反映定点零售药店基金使用情况，崇尚规范经营、杜绝虚假欺诈医保等行为。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原则二：覆盖全面。评定范围包括协议履行、基金监管、社会信用等维度，全面反映定点零售药店的履约意愿、能力和结果。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原则三：优化选取。指标数量适中，计算方法精简，体现客观公正，具有动态调整空间。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原则四：采集便捷。符合定点零售药店实际情况，便于操作和评价结果得出。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二</w:t>
      </w:r>
      <w:r>
        <w:rPr>
          <w:rFonts w:hint="eastAsia" w:ascii="黑体" w:hAnsi="黑体" w:eastAsia="黑体" w:cs="黑体"/>
          <w:b w:val="0"/>
          <w:bCs w:val="0"/>
          <w:color w:val="000000"/>
          <w:spacing w:val="0"/>
          <w:w w:val="100"/>
          <w:position w:val="0"/>
          <w:sz w:val="32"/>
          <w:szCs w:val="32"/>
          <w:lang w:eastAsia="zh-CN"/>
        </w:rPr>
        <w:t>、</w:t>
      </w:r>
      <w:r>
        <w:rPr>
          <w:rFonts w:hint="eastAsia" w:ascii="黑体" w:hAnsi="黑体" w:eastAsia="黑体" w:cs="黑体"/>
          <w:b w:val="0"/>
          <w:bCs w:val="0"/>
          <w:color w:val="000000"/>
          <w:spacing w:val="0"/>
          <w:w w:val="100"/>
          <w:position w:val="0"/>
          <w:sz w:val="32"/>
          <w:szCs w:val="32"/>
        </w:rPr>
        <w:t>指标体系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380" w:line="560" w:lineRule="exact"/>
        <w:ind w:left="0" w:right="0"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pacing w:val="0"/>
          <w:w w:val="100"/>
          <w:position w:val="0"/>
          <w:sz w:val="32"/>
          <w:szCs w:val="32"/>
        </w:rPr>
        <w:t>（一）指标体系汇总</w:t>
      </w:r>
      <w:r>
        <w:rPr>
          <w:rFonts w:hint="eastAsia" w:ascii="仿宋_GB2312" w:hAnsi="仿宋_GB2312" w:eastAsia="仿宋_GB2312" w:cs="仿宋_GB2312"/>
          <w:sz w:val="32"/>
          <w:szCs w:val="32"/>
        </w:rPr>
        <w:br w:type="page"/>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76"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表1医疗保障基金监管信用评价指标体系</w:t>
      </w:r>
    </w:p>
    <w:tbl>
      <w:tblPr>
        <w:tblStyle w:val="3"/>
        <w:tblW w:w="9070" w:type="dxa"/>
        <w:jc w:val="center"/>
        <w:tblLayout w:type="fixed"/>
        <w:tblCellMar>
          <w:top w:w="0" w:type="dxa"/>
          <w:left w:w="11" w:type="dxa"/>
          <w:bottom w:w="0" w:type="dxa"/>
          <w:right w:w="11" w:type="dxa"/>
        </w:tblCellMar>
      </w:tblPr>
      <w:tblGrid>
        <w:gridCol w:w="1840"/>
        <w:gridCol w:w="2670"/>
        <w:gridCol w:w="4560"/>
      </w:tblGrid>
      <w:tr>
        <w:tblPrEx>
          <w:tblCellMar>
            <w:top w:w="0" w:type="dxa"/>
            <w:left w:w="11" w:type="dxa"/>
            <w:bottom w:w="0" w:type="dxa"/>
            <w:right w:w="11" w:type="dxa"/>
          </w:tblCellMar>
        </w:tblPrEx>
        <w:trPr>
          <w:trHeight w:val="23"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一级指标</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二级指标</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三级指标</w:t>
            </w:r>
          </w:p>
        </w:tc>
      </w:tr>
      <w:tr>
        <w:tblPrEx>
          <w:tblCellMar>
            <w:top w:w="0" w:type="dxa"/>
            <w:left w:w="11" w:type="dxa"/>
            <w:bottom w:w="0" w:type="dxa"/>
            <w:right w:w="11" w:type="dxa"/>
          </w:tblCellMar>
        </w:tblPrEx>
        <w:trPr>
          <w:trHeight w:val="23" w:hRule="atLeast"/>
          <w:jc w:val="center"/>
        </w:trPr>
        <w:tc>
          <w:tcPr>
            <w:tcW w:w="1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1.协议履行</w:t>
            </w:r>
          </w:p>
        </w:tc>
        <w:tc>
          <w:tcPr>
            <w:tcW w:w="2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1.1服务管理</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1.1.1 定点营业</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1.1.2 经营范围</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1.1.3 人员配备</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1.1.4 身份核对</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1.1.5 进销存管理</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1.1.6 处方药外配服务管理</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1.1.7 明码标价</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1.1.8 管理制度</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 信息变更</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信息管理</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1.2.1 接口改造</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1.2.2 数据对接</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1.2.3 编码维护</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1.2.4 网络信息安全</w:t>
            </w:r>
          </w:p>
        </w:tc>
      </w:tr>
      <w:tr>
        <w:tblPrEx>
          <w:tblCellMar>
            <w:top w:w="0" w:type="dxa"/>
            <w:left w:w="11" w:type="dxa"/>
            <w:bottom w:w="0" w:type="dxa"/>
            <w:right w:w="11" w:type="dxa"/>
          </w:tblCellMar>
        </w:tblPrEx>
        <w:trPr>
          <w:trHeight w:val="23" w:hRule="atLeast"/>
          <w:jc w:val="center"/>
        </w:trPr>
        <w:tc>
          <w:tcPr>
            <w:tcW w:w="1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基金监管</w:t>
            </w:r>
          </w:p>
        </w:tc>
        <w:tc>
          <w:tcPr>
            <w:tcW w:w="2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2.1</w:t>
            </w:r>
            <w:r>
              <w:rPr>
                <w:rFonts w:hint="eastAsia" w:ascii="仿宋_GB2312" w:hAnsi="仿宋_GB2312" w:eastAsia="仿宋_GB2312" w:cs="仿宋_GB2312"/>
                <w:color w:val="000000"/>
                <w:spacing w:val="0"/>
                <w:w w:val="100"/>
                <w:position w:val="0"/>
                <w:sz w:val="32"/>
                <w:szCs w:val="32"/>
              </w:rPr>
              <w:t>一般处理</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2.1.1 </w:t>
            </w:r>
            <w:r>
              <w:rPr>
                <w:rFonts w:hint="eastAsia" w:ascii="仿宋_GB2312" w:hAnsi="仿宋_GB2312" w:eastAsia="仿宋_GB2312" w:cs="仿宋_GB2312"/>
                <w:color w:val="000000"/>
                <w:spacing w:val="0"/>
                <w:w w:val="100"/>
                <w:position w:val="0"/>
                <w:sz w:val="32"/>
                <w:szCs w:val="32"/>
              </w:rPr>
              <w:t>约谈</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2.1.2 </w:t>
            </w:r>
            <w:r>
              <w:rPr>
                <w:rFonts w:hint="eastAsia" w:ascii="仿宋_GB2312" w:hAnsi="仿宋_GB2312" w:eastAsia="仿宋_GB2312" w:cs="仿宋_GB2312"/>
                <w:color w:val="000000"/>
                <w:spacing w:val="0"/>
                <w:w w:val="100"/>
                <w:position w:val="0"/>
                <w:sz w:val="32"/>
                <w:szCs w:val="32"/>
              </w:rPr>
              <w:t>限期整改</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2.2</w:t>
            </w:r>
            <w:r>
              <w:rPr>
                <w:rFonts w:hint="eastAsia" w:ascii="仿宋_GB2312" w:hAnsi="仿宋_GB2312" w:eastAsia="仿宋_GB2312" w:cs="仿宋_GB2312"/>
                <w:color w:val="000000"/>
                <w:spacing w:val="0"/>
                <w:w w:val="100"/>
                <w:position w:val="0"/>
                <w:sz w:val="32"/>
                <w:szCs w:val="32"/>
              </w:rPr>
              <w:t>费用处理</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 违规费用占比</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2.3</w:t>
            </w:r>
            <w:r>
              <w:rPr>
                <w:rFonts w:hint="eastAsia" w:ascii="仿宋_GB2312" w:hAnsi="仿宋_GB2312" w:eastAsia="仿宋_GB2312" w:cs="仿宋_GB2312"/>
                <w:color w:val="000000"/>
                <w:spacing w:val="0"/>
                <w:w w:val="100"/>
                <w:position w:val="0"/>
                <w:sz w:val="32"/>
                <w:szCs w:val="32"/>
              </w:rPr>
              <w:t>协议处理</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2.3.1 </w:t>
            </w:r>
            <w:r>
              <w:rPr>
                <w:rFonts w:hint="eastAsia" w:ascii="仿宋_GB2312" w:hAnsi="仿宋_GB2312" w:eastAsia="仿宋_GB2312" w:cs="仿宋_GB2312"/>
                <w:color w:val="000000"/>
                <w:spacing w:val="0"/>
                <w:w w:val="100"/>
                <w:position w:val="0"/>
                <w:sz w:val="32"/>
                <w:szCs w:val="32"/>
              </w:rPr>
              <w:t>中止协议</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2.3.2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解除协议</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2.4行政处罚</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2.4.1 行政处罚</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2.5</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司法处理</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xml:space="preserve">2.5.1 </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司法处理</w:t>
            </w:r>
          </w:p>
        </w:tc>
      </w:tr>
      <w:tr>
        <w:tblPrEx>
          <w:tblCellMar>
            <w:top w:w="0" w:type="dxa"/>
            <w:left w:w="11" w:type="dxa"/>
            <w:bottom w:w="0" w:type="dxa"/>
            <w:right w:w="11" w:type="dxa"/>
          </w:tblCellMar>
        </w:tblPrEx>
        <w:trPr>
          <w:trHeight w:val="23" w:hRule="atLeast"/>
          <w:jc w:val="center"/>
        </w:trPr>
        <w:tc>
          <w:tcPr>
            <w:tcW w:w="18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社会信用</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3.1</w:t>
            </w:r>
            <w:r>
              <w:rPr>
                <w:rFonts w:hint="eastAsia" w:ascii="仿宋_GB2312" w:hAnsi="仿宋_GB2312" w:eastAsia="仿宋_GB2312" w:cs="仿宋_GB2312"/>
                <w:color w:val="000000"/>
                <w:spacing w:val="0"/>
                <w:w w:val="100"/>
                <w:position w:val="0"/>
                <w:sz w:val="32"/>
                <w:szCs w:val="32"/>
              </w:rPr>
              <w:t>失信被执行人</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3.1.1 </w:t>
            </w:r>
            <w:r>
              <w:rPr>
                <w:rFonts w:hint="eastAsia" w:ascii="仿宋_GB2312" w:hAnsi="仿宋_GB2312" w:eastAsia="仿宋_GB2312" w:cs="仿宋_GB2312"/>
                <w:color w:val="000000"/>
                <w:spacing w:val="0"/>
                <w:w w:val="100"/>
                <w:position w:val="0"/>
                <w:sz w:val="32"/>
                <w:szCs w:val="32"/>
              </w:rPr>
              <w:t>失信被执行人</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3.2</w:t>
            </w:r>
            <w:r>
              <w:rPr>
                <w:rFonts w:hint="eastAsia" w:ascii="仿宋_GB2312" w:hAnsi="仿宋_GB2312" w:eastAsia="仿宋_GB2312" w:cs="仿宋_GB2312"/>
                <w:color w:val="000000"/>
                <w:spacing w:val="0"/>
                <w:w w:val="100"/>
                <w:position w:val="0"/>
                <w:sz w:val="32"/>
                <w:szCs w:val="32"/>
              </w:rPr>
              <w:t>违规移交情况</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3.1.2 </w:t>
            </w:r>
            <w:r>
              <w:rPr>
                <w:rFonts w:hint="eastAsia" w:ascii="仿宋_GB2312" w:hAnsi="仿宋_GB2312" w:eastAsia="仿宋_GB2312" w:cs="仿宋_GB2312"/>
                <w:color w:val="000000"/>
                <w:spacing w:val="0"/>
                <w:w w:val="100"/>
                <w:position w:val="0"/>
                <w:sz w:val="32"/>
                <w:szCs w:val="32"/>
              </w:rPr>
              <w:t>违规移交情况</w:t>
            </w:r>
          </w:p>
        </w:tc>
      </w:tr>
      <w:tr>
        <w:tblPrEx>
          <w:tblCellMar>
            <w:top w:w="0" w:type="dxa"/>
            <w:left w:w="11" w:type="dxa"/>
            <w:bottom w:w="0" w:type="dxa"/>
            <w:right w:w="11" w:type="dxa"/>
          </w:tblCellMar>
        </w:tblPrEx>
        <w:trPr>
          <w:trHeight w:val="23" w:hRule="atLeast"/>
          <w:jc w:val="center"/>
        </w:trPr>
        <w:tc>
          <w:tcPr>
            <w:tcW w:w="18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3.3</w:t>
            </w:r>
            <w:r>
              <w:rPr>
                <w:rFonts w:hint="eastAsia" w:ascii="仿宋_GB2312" w:hAnsi="仿宋_GB2312" w:eastAsia="仿宋_GB2312" w:cs="仿宋_GB2312"/>
                <w:color w:val="000000"/>
                <w:spacing w:val="0"/>
                <w:w w:val="100"/>
                <w:position w:val="0"/>
                <w:sz w:val="32"/>
                <w:szCs w:val="32"/>
              </w:rPr>
              <w:t>奖励情况</w:t>
            </w:r>
          </w:p>
        </w:tc>
        <w:tc>
          <w:tcPr>
            <w:tcW w:w="45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3.1.3 </w:t>
            </w:r>
            <w:r>
              <w:rPr>
                <w:rFonts w:hint="eastAsia" w:ascii="仿宋_GB2312" w:hAnsi="仿宋_GB2312" w:eastAsia="仿宋_GB2312" w:cs="仿宋_GB2312"/>
                <w:color w:val="000000"/>
                <w:spacing w:val="0"/>
                <w:w w:val="100"/>
                <w:position w:val="0"/>
                <w:sz w:val="32"/>
                <w:szCs w:val="32"/>
              </w:rPr>
              <w:t>表扬嘉奖</w:t>
            </w:r>
          </w:p>
        </w:tc>
      </w:tr>
    </w:tbl>
    <w:p>
      <w:pPr>
        <w:pStyle w:val="8"/>
        <w:keepNext/>
        <w:keepLines/>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楷体_GB2312" w:hAnsi="楷体_GB2312" w:eastAsia="楷体_GB2312" w:cs="楷体_GB2312"/>
          <w:b w:val="0"/>
          <w:bCs w:val="0"/>
          <w:color w:val="000000"/>
          <w:spacing w:val="0"/>
          <w:w w:val="100"/>
          <w:position w:val="0"/>
          <w:sz w:val="32"/>
          <w:szCs w:val="32"/>
        </w:rPr>
      </w:pPr>
      <w:bookmarkStart w:id="4" w:name="bookmark622"/>
      <w:bookmarkStart w:id="5" w:name="bookmark620"/>
      <w:bookmarkStart w:id="6" w:name="bookmark621"/>
      <w:r>
        <w:rPr>
          <w:rFonts w:hint="eastAsia" w:ascii="楷体_GB2312" w:hAnsi="楷体_GB2312" w:eastAsia="楷体_GB2312" w:cs="楷体_GB2312"/>
          <w:b w:val="0"/>
          <w:bCs w:val="0"/>
          <w:color w:val="000000"/>
          <w:spacing w:val="0"/>
          <w:w w:val="100"/>
          <w:position w:val="0"/>
          <w:sz w:val="32"/>
          <w:szCs w:val="32"/>
        </w:rPr>
        <w:t>指标解释</w:t>
      </w:r>
      <w:bookmarkEnd w:id="4"/>
    </w:p>
    <w:p>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1协议履行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1.1</w:t>
      </w:r>
      <w:r>
        <w:rPr>
          <w:rFonts w:hint="eastAsia" w:ascii="仿宋_GB2312" w:hAnsi="仿宋_GB2312" w:eastAsia="仿宋_GB2312" w:cs="仿宋_GB2312"/>
          <w:b w:val="0"/>
          <w:bCs w:val="0"/>
          <w:color w:val="000000"/>
          <w:spacing w:val="0"/>
          <w:w w:val="100"/>
          <w:position w:val="0"/>
          <w:sz w:val="32"/>
          <w:szCs w:val="32"/>
          <w:lang w:val="en-US" w:eastAsia="zh-CN" w:bidi="en-US"/>
        </w:rPr>
        <w:t>服务管理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1.1.1 定点营业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确认的经营地址为参保人员提供配售药品服务并申报结算医保费用。不得为非定点零售药店、中止医保协议期间的定点零售药店或其他机构提供医保结算。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30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1.1.2 经营范围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经营的药品不能超过《药品经营许可证》规定范围。</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店内柜台不得承包或出租给他人经营。</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20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1.1.3 人员配备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从事销售的人员至少有2名熟悉医保法律法规和相关制度规定的专（兼）职医保管理人员负责管理医保工作，并签订1年以上劳动合同且在合同期内。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营业时间内至少有1名取得执业药师资格证书或具有药学、临床药学、中药学专业技术资格证书的药师在岗，且注册地在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所在地，药师须签订1年以上劳动合同且在合同期内。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5</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1.1.4 身份核对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提供药品服务时应核对参保人员有效医疗保障凭证，做到人证相符。凭外配处方购药的，应核验处方使用人与参保人员身份是否一致。如非</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授权，</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不得以任何理由收集、滞留参保人员医疗保障凭证。</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20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1.1.5 进销存管理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应按要求及时如实向</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上传参保人员购买药品的品种、规格、价格及费用信息，定期向</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上报药品的“进、销、存”数据，并对其真实性负责。药品的购进记录应当包含名称、规格、剂型（型号）、（包装）、生产企业、批准文号、数量、实际交易价格等信息，确保其可追溯性。</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进</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销存相关凭证保存5年以上。</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可根据医保管理需要调查了解上述信息。</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10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1.1.6 处方药外配服务管理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应凭处方销售医保目录内处方药，药师应当对处方进行审核、签字后调剂配发药品。外配处方必须由定点医疗机构相关科室医师开具，并有医师签章。</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应将参保人员医保目录内药品外配处方、购药清单等保存2年，以备医保部门核查。除法律法规和有关政策规定外，</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无正当理由，不得拒绝参保人员按外配处方配购的请求，若认定外配处方存在配伍禁忌或剂量等有疑义时，要告知参保人员，由原开处方的医生修改后再给予配售。</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20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1.1.7 明码标价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在明显位置公布所售药品零售价格</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5</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1.1.8 管理制度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必须按药品经营质量管理规范要求，开展药品分类分区管理，并对所售药品设立明确的医保用药标识，确保供药安全、有效。</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5</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pacing w:val="0"/>
          <w:w w:val="100"/>
          <w:position w:val="0"/>
          <w:sz w:val="32"/>
          <w:szCs w:val="32"/>
          <w:lang w:val="en-US" w:eastAsia="zh-CN" w:bidi="en-US"/>
        </w:rPr>
      </w:pPr>
      <w:r>
        <w:rPr>
          <w:rFonts w:hint="eastAsia" w:ascii="仿宋_GB2312" w:hAnsi="仿宋_GB2312" w:eastAsia="仿宋_GB2312" w:cs="仿宋_GB2312"/>
          <w:b w:val="0"/>
          <w:bCs w:val="0"/>
          <w:color w:val="auto"/>
          <w:spacing w:val="0"/>
          <w:w w:val="100"/>
          <w:position w:val="0"/>
          <w:sz w:val="32"/>
          <w:szCs w:val="32"/>
          <w:lang w:val="en-US" w:eastAsia="zh-CN" w:bidi="en-US"/>
        </w:rPr>
        <w:t>1.1.9 信息变更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auto"/>
          <w:spacing w:val="0"/>
          <w:w w:val="100"/>
          <w:position w:val="0"/>
          <w:sz w:val="32"/>
          <w:szCs w:val="32"/>
          <w:lang w:val="en-US" w:eastAsia="zh-CN"/>
        </w:rPr>
        <w:t>协议履行期间，定点零售药店的的名称、法定代表人、主要负责人或实际控制人、注册地址、银行账户、诊疗科目、机构规模、机构性质、等级和类别等重大信息变更时，应自有关部门批准之日起30个工作日内向医保部门提出变更申请。其他一般信息变更应及时书面告知。</w:t>
      </w:r>
      <w:r>
        <w:rPr>
          <w:rFonts w:hint="eastAsia" w:ascii="仿宋_GB2312" w:hAnsi="仿宋_GB2312" w:eastAsia="仿宋_GB2312" w:cs="仿宋_GB2312"/>
          <w:b w:val="0"/>
          <w:bCs w:val="0"/>
          <w:color w:val="auto"/>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auto"/>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auto"/>
          <w:spacing w:val="0"/>
          <w:w w:val="100"/>
          <w:kern w:val="0"/>
          <w:position w:val="0"/>
          <w:sz w:val="32"/>
          <w:szCs w:val="32"/>
          <w:u w:val="none"/>
          <w:shd w:val="clear" w:color="auto" w:fill="auto"/>
          <w:lang w:val="en-US" w:eastAsia="zh-CN" w:bidi="zh-TW"/>
        </w:rPr>
        <w:t>30</w:t>
      </w:r>
      <w:r>
        <w:rPr>
          <w:rFonts w:hint="eastAsia" w:ascii="仿宋_GB2312" w:hAnsi="仿宋_GB2312" w:eastAsia="仿宋_GB2312" w:cs="仿宋_GB2312"/>
          <w:b w:val="0"/>
          <w:bCs w:val="0"/>
          <w:color w:val="auto"/>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pacing w:val="0"/>
          <w:w w:val="100"/>
          <w:position w:val="0"/>
          <w:sz w:val="32"/>
          <w:szCs w:val="32"/>
        </w:rPr>
      </w:pPr>
      <w:r>
        <w:rPr>
          <w:rFonts w:hint="eastAsia" w:ascii="仿宋_GB2312" w:hAnsi="仿宋_GB2312" w:eastAsia="仿宋_GB2312" w:cs="仿宋_GB2312"/>
          <w:b w:val="0"/>
          <w:bCs w:val="0"/>
          <w:color w:val="auto"/>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lang w:val="en-US" w:eastAsia="zh-CN" w:bidi="en-US"/>
        </w:rPr>
        <w:t>2信息系统</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1.2.1 接口改造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应当按医保信息系统的技术和接口标准，配备医保联网相关的设施设备，</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并</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与医保信息系统有效对接，为参保人员提供直接联网结算。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7</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1.2.2 数据对接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按规定及时全面准确向医保信息系统传送医保结算和审核所需的有关数据。</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应按规定使用视频监控、人脸识别、实名制监管等系统。</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的医保结算系统、医保智能监控系统延伸到</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进销存管理系统，</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应当予以配合。</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7</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1.2.3 编码维护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应按规定建立医保药品、药师等基础数据库，按规定使用国家统一医保编码。</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7</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1.2.4 网络信息安全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定点零售药店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应当严格遵守国家、省和统筹地区信息系统安全管理的相关规定</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对</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本单位服务器、网络设备、电脑终端、信息系统进行定期检测，保障安全。不得将工作中获取、知悉的参保人员资料或者相关信息用于医保基金使用监督管理以外的其他目的，不得泄露、篡改、毁损、非法向他人提供参保人的个人信息和商业秘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30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p>
    <w:p>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bookmarkStart w:id="7" w:name="bookmark625"/>
      <w:bookmarkStart w:id="8" w:name="bookmark624"/>
      <w:bookmarkStart w:id="9" w:name="bookmark626"/>
      <w:r>
        <w:rPr>
          <w:rFonts w:hint="eastAsia" w:ascii="仿宋_GB2312" w:hAnsi="仿宋_GB2312" w:eastAsia="仿宋_GB2312" w:cs="仿宋_GB2312"/>
          <w:b w:val="0"/>
          <w:bCs w:val="0"/>
          <w:color w:val="000000"/>
          <w:spacing w:val="0"/>
          <w:w w:val="100"/>
          <w:position w:val="0"/>
          <w:sz w:val="32"/>
          <w:szCs w:val="32"/>
        </w:rPr>
        <w:t>2基金监管</w:t>
      </w:r>
      <w:bookmarkEnd w:id="7"/>
      <w:bookmarkEnd w:id="8"/>
      <w:bookmarkEnd w:id="9"/>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2.1</w:t>
      </w:r>
      <w:r>
        <w:rPr>
          <w:rFonts w:hint="eastAsia" w:ascii="仿宋_GB2312" w:hAnsi="仿宋_GB2312" w:eastAsia="仿宋_GB2312" w:cs="仿宋_GB2312"/>
          <w:b w:val="0"/>
          <w:bCs w:val="0"/>
          <w:color w:val="000000"/>
          <w:spacing w:val="0"/>
          <w:w w:val="100"/>
          <w:position w:val="0"/>
          <w:sz w:val="32"/>
          <w:szCs w:val="32"/>
        </w:rPr>
        <w:t>一般处理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2.1.1</w:t>
      </w:r>
      <w:r>
        <w:rPr>
          <w:rFonts w:hint="eastAsia" w:ascii="仿宋_GB2312" w:hAnsi="仿宋_GB2312" w:eastAsia="仿宋_GB2312" w:cs="仿宋_GB2312"/>
          <w:b w:val="0"/>
          <w:bCs w:val="0"/>
          <w:color w:val="000000"/>
          <w:spacing w:val="0"/>
          <w:w w:val="100"/>
          <w:position w:val="0"/>
          <w:sz w:val="32"/>
          <w:szCs w:val="32"/>
        </w:rPr>
        <w:t>约谈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评分标准：对定点零售药店医保违规行为的处理方式。被医保部门约谈，每次扣</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2.1.2</w:t>
      </w:r>
      <w:r>
        <w:rPr>
          <w:rFonts w:hint="eastAsia" w:ascii="仿宋_GB2312" w:hAnsi="仿宋_GB2312" w:eastAsia="仿宋_GB2312" w:cs="仿宋_GB2312"/>
          <w:b w:val="0"/>
          <w:bCs w:val="0"/>
          <w:color w:val="000000"/>
          <w:spacing w:val="0"/>
          <w:w w:val="100"/>
          <w:position w:val="0"/>
          <w:sz w:val="32"/>
          <w:szCs w:val="32"/>
        </w:rPr>
        <w:t>限期整改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评分标准：对定点零售药店医保违规行为的处理方式。被医保部门</w:t>
      </w:r>
      <w:r>
        <w:rPr>
          <w:rFonts w:hint="eastAsia" w:ascii="仿宋_GB2312" w:hAnsi="仿宋_GB2312" w:eastAsia="仿宋_GB2312" w:cs="仿宋_GB2312"/>
          <w:b w:val="0"/>
          <w:bCs w:val="0"/>
          <w:color w:val="000000"/>
          <w:spacing w:val="0"/>
          <w:w w:val="100"/>
          <w:position w:val="0"/>
          <w:sz w:val="32"/>
          <w:szCs w:val="32"/>
          <w:lang w:val="en-US" w:eastAsia="zh-CN"/>
        </w:rPr>
        <w:t>要求限期整改</w:t>
      </w:r>
      <w:r>
        <w:rPr>
          <w:rFonts w:hint="eastAsia" w:ascii="仿宋_GB2312" w:hAnsi="仿宋_GB2312" w:eastAsia="仿宋_GB2312" w:cs="仿宋_GB2312"/>
          <w:b w:val="0"/>
          <w:bCs w:val="0"/>
          <w:color w:val="000000"/>
          <w:spacing w:val="0"/>
          <w:w w:val="100"/>
          <w:position w:val="0"/>
          <w:sz w:val="32"/>
          <w:szCs w:val="32"/>
        </w:rPr>
        <w:t>，每次扣</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pacing w:val="0"/>
          <w:w w:val="100"/>
          <w:position w:val="0"/>
          <w:sz w:val="32"/>
          <w:szCs w:val="32"/>
        </w:rPr>
      </w:pPr>
      <w:r>
        <w:rPr>
          <w:rFonts w:hint="eastAsia" w:ascii="仿宋_GB2312" w:hAnsi="仿宋_GB2312" w:eastAsia="仿宋_GB2312" w:cs="仿宋_GB2312"/>
          <w:b w:val="0"/>
          <w:bCs w:val="0"/>
          <w:color w:val="auto"/>
          <w:spacing w:val="0"/>
          <w:w w:val="100"/>
          <w:position w:val="0"/>
          <w:sz w:val="32"/>
          <w:szCs w:val="32"/>
          <w:lang w:val="en-US" w:eastAsia="en-US" w:bidi="en-US"/>
        </w:rPr>
        <w:t>2.2</w:t>
      </w:r>
      <w:r>
        <w:rPr>
          <w:rFonts w:hint="eastAsia" w:ascii="仿宋_GB2312" w:hAnsi="仿宋_GB2312" w:eastAsia="仿宋_GB2312" w:cs="仿宋_GB2312"/>
          <w:b w:val="0"/>
          <w:bCs w:val="0"/>
          <w:color w:val="auto"/>
          <w:spacing w:val="0"/>
          <w:w w:val="100"/>
          <w:position w:val="0"/>
          <w:sz w:val="32"/>
          <w:szCs w:val="32"/>
        </w:rPr>
        <w:t>费用处理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2.2.1 违规费用占比</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pacing w:val="0"/>
          <w:w w:val="100"/>
          <w:position w:val="0"/>
          <w:sz w:val="32"/>
          <w:szCs w:val="32"/>
        </w:rPr>
      </w:pPr>
      <w:r>
        <w:rPr>
          <w:rFonts w:hint="eastAsia" w:ascii="仿宋_GB2312" w:hAnsi="仿宋_GB2312" w:eastAsia="仿宋_GB2312" w:cs="仿宋_GB2312"/>
          <w:b w:val="0"/>
          <w:bCs w:val="0"/>
          <w:color w:val="auto"/>
          <w:spacing w:val="0"/>
          <w:w w:val="100"/>
          <w:position w:val="0"/>
          <w:sz w:val="32"/>
          <w:szCs w:val="32"/>
        </w:rPr>
        <w:t>评分标准：对定点零售药店医保违规行为的处理方式</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lang w:val="en-US" w:eastAsia="zh-CN"/>
        </w:rPr>
        <w:t>包括</w:t>
      </w:r>
      <w:r>
        <w:rPr>
          <w:rFonts w:hint="eastAsia" w:ascii="仿宋_GB2312" w:hAnsi="仿宋_GB2312" w:eastAsia="仿宋_GB2312" w:cs="仿宋_GB2312"/>
          <w:b w:val="0"/>
          <w:bCs w:val="0"/>
          <w:color w:val="auto"/>
          <w:spacing w:val="0"/>
          <w:w w:val="100"/>
          <w:position w:val="0"/>
          <w:sz w:val="32"/>
          <w:szCs w:val="32"/>
        </w:rPr>
        <w:t>追回费用</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拒付违规费用</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lang w:val="en-US" w:eastAsia="zh-CN"/>
        </w:rPr>
        <w:t>扣除考核预留金或者支付违约金、罚款等</w:t>
      </w:r>
      <w:r>
        <w:rPr>
          <w:rFonts w:hint="eastAsia" w:ascii="仿宋_GB2312" w:hAnsi="仿宋_GB2312" w:eastAsia="仿宋_GB2312" w:cs="仿宋_GB2312"/>
          <w:b w:val="0"/>
          <w:bCs w:val="0"/>
          <w:color w:val="auto"/>
          <w:spacing w:val="0"/>
          <w:w w:val="100"/>
          <w:position w:val="0"/>
          <w:sz w:val="32"/>
          <w:szCs w:val="32"/>
        </w:rPr>
        <w:t>。按</w:t>
      </w:r>
      <w:r>
        <w:rPr>
          <w:rFonts w:hint="eastAsia" w:ascii="仿宋_GB2312" w:hAnsi="仿宋_GB2312" w:eastAsia="仿宋_GB2312" w:cs="仿宋_GB2312"/>
          <w:b w:val="0"/>
          <w:bCs w:val="0"/>
          <w:color w:val="auto"/>
          <w:spacing w:val="0"/>
          <w:w w:val="100"/>
          <w:position w:val="0"/>
          <w:sz w:val="32"/>
          <w:szCs w:val="32"/>
          <w:lang w:val="en-US" w:eastAsia="zh-CN"/>
        </w:rPr>
        <w:t>违规费用占比</w:t>
      </w:r>
      <w:r>
        <w:rPr>
          <w:rFonts w:hint="eastAsia" w:ascii="仿宋_GB2312" w:hAnsi="仿宋_GB2312" w:eastAsia="仿宋_GB2312" w:cs="仿宋_GB2312"/>
          <w:b w:val="0"/>
          <w:bCs w:val="0"/>
          <w:color w:val="auto"/>
          <w:spacing w:val="0"/>
          <w:w w:val="100"/>
          <w:position w:val="0"/>
          <w:sz w:val="32"/>
          <w:szCs w:val="32"/>
        </w:rPr>
        <w:t>扣分。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评分方式：</w:t>
      </w:r>
      <w:r>
        <w:rPr>
          <w:rFonts w:hint="eastAsia" w:ascii="仿宋_GB2312" w:hAnsi="仿宋_GB2312" w:eastAsia="仿宋_GB2312" w:cs="仿宋_GB2312"/>
          <w:b w:val="0"/>
          <w:bCs w:val="0"/>
          <w:color w:val="auto"/>
          <w:spacing w:val="0"/>
          <w:w w:val="100"/>
          <w:position w:val="0"/>
          <w:sz w:val="32"/>
          <w:szCs w:val="32"/>
          <w:lang w:val="en-US" w:eastAsia="zh-CN"/>
        </w:rPr>
        <w:t>扣分=当次违规费用/上一年度医保基金支付金额*30</w:t>
      </w:r>
      <w:r>
        <w:rPr>
          <w:rFonts w:hint="eastAsia" w:ascii="仿宋_GB2312" w:hAnsi="仿宋_GB2312" w:eastAsia="仿宋_GB2312" w:cs="仿宋_GB2312"/>
          <w:b w:val="0"/>
          <w:bCs w:val="0"/>
          <w:color w:val="auto"/>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2.3</w:t>
      </w:r>
      <w:r>
        <w:rPr>
          <w:rFonts w:hint="eastAsia" w:ascii="仿宋_GB2312" w:hAnsi="仿宋_GB2312" w:eastAsia="仿宋_GB2312" w:cs="仿宋_GB2312"/>
          <w:b w:val="0"/>
          <w:bCs w:val="0"/>
          <w:color w:val="000000"/>
          <w:spacing w:val="0"/>
          <w:w w:val="100"/>
          <w:position w:val="0"/>
          <w:sz w:val="32"/>
          <w:szCs w:val="32"/>
        </w:rPr>
        <w:t>协议处理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2.3.1</w:t>
      </w:r>
      <w:r>
        <w:rPr>
          <w:rFonts w:hint="eastAsia" w:ascii="仿宋_GB2312" w:hAnsi="仿宋_GB2312" w:eastAsia="仿宋_GB2312" w:cs="仿宋_GB2312"/>
          <w:b w:val="0"/>
          <w:bCs w:val="0"/>
          <w:color w:val="000000"/>
          <w:spacing w:val="0"/>
          <w:w w:val="100"/>
          <w:position w:val="0"/>
          <w:sz w:val="32"/>
          <w:szCs w:val="32"/>
        </w:rPr>
        <w:t>中止协议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评分标准：对定点零售药店医保违规行为的处理方式。被医保部门中止协议，每次扣</w:t>
      </w:r>
      <w:r>
        <w:rPr>
          <w:rFonts w:hint="eastAsia" w:ascii="仿宋_GB2312" w:hAnsi="仿宋_GB2312" w:eastAsia="仿宋_GB2312" w:cs="仿宋_GB2312"/>
          <w:b w:val="0"/>
          <w:bCs w:val="0"/>
          <w:color w:val="000000"/>
          <w:spacing w:val="0"/>
          <w:w w:val="100"/>
          <w:position w:val="0"/>
          <w:sz w:val="32"/>
          <w:szCs w:val="32"/>
          <w:lang w:val="en-US" w:eastAsia="zh-CN"/>
        </w:rPr>
        <w:t>20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2.3.2</w:t>
      </w:r>
      <w:r>
        <w:rPr>
          <w:rFonts w:hint="eastAsia" w:ascii="仿宋_GB2312" w:hAnsi="仿宋_GB2312" w:eastAsia="仿宋_GB2312" w:cs="仿宋_GB2312"/>
          <w:b w:val="0"/>
          <w:bCs w:val="0"/>
          <w:color w:val="000000"/>
          <w:spacing w:val="0"/>
          <w:w w:val="100"/>
          <w:position w:val="0"/>
          <w:sz w:val="32"/>
          <w:szCs w:val="32"/>
        </w:rPr>
        <w:t>解除协议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评分标准：对定点零售药店医保违规行为的处理方式。被医保部门解除协议，每次扣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2.4 行政处罚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2.4.1 行政处罚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评分标准：对定点零售药店医保违规行为的处理方式。被医保部门</w:t>
      </w:r>
      <w:r>
        <w:rPr>
          <w:rFonts w:hint="eastAsia" w:ascii="仿宋_GB2312" w:hAnsi="仿宋_GB2312" w:eastAsia="仿宋_GB2312" w:cs="仿宋_GB2312"/>
          <w:b w:val="0"/>
          <w:bCs w:val="0"/>
          <w:color w:val="000000"/>
          <w:spacing w:val="0"/>
          <w:w w:val="100"/>
          <w:position w:val="0"/>
          <w:sz w:val="32"/>
          <w:szCs w:val="32"/>
          <w:lang w:val="en-US" w:eastAsia="zh-CN"/>
        </w:rPr>
        <w:t>行政处罚</w:t>
      </w:r>
      <w:r>
        <w:rPr>
          <w:rFonts w:hint="eastAsia" w:ascii="仿宋_GB2312" w:hAnsi="仿宋_GB2312" w:eastAsia="仿宋_GB2312" w:cs="仿宋_GB2312"/>
          <w:b w:val="0"/>
          <w:bCs w:val="0"/>
          <w:color w:val="000000"/>
          <w:spacing w:val="0"/>
          <w:w w:val="100"/>
          <w:position w:val="0"/>
          <w:sz w:val="32"/>
          <w:szCs w:val="32"/>
        </w:rPr>
        <w:t>，每次扣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w:t>
      </w:r>
      <w:r>
        <w:rPr>
          <w:rFonts w:hint="eastAsia" w:ascii="仿宋_GB2312" w:hAnsi="仿宋_GB2312" w:eastAsia="仿宋_GB2312" w:cs="仿宋_GB2312"/>
          <w:b w:val="0"/>
          <w:bCs w:val="0"/>
          <w:color w:val="000000"/>
          <w:spacing w:val="0"/>
          <w:w w:val="100"/>
          <w:position w:val="0"/>
          <w:sz w:val="32"/>
          <w:szCs w:val="32"/>
          <w:lang w:val="en-US" w:eastAsia="zh-CN"/>
        </w:rPr>
        <w:t>行政处罚</w:t>
      </w:r>
      <w:r>
        <w:rPr>
          <w:rFonts w:hint="eastAsia" w:ascii="仿宋_GB2312" w:hAnsi="仿宋_GB2312" w:eastAsia="仿宋_GB2312" w:cs="仿宋_GB2312"/>
          <w:b w:val="0"/>
          <w:bCs w:val="0"/>
          <w:color w:val="000000"/>
          <w:spacing w:val="0"/>
          <w:w w:val="100"/>
          <w:position w:val="0"/>
          <w:sz w:val="32"/>
          <w:szCs w:val="32"/>
        </w:rPr>
        <w:t>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lang w:val="en-US" w:eastAsia="en-US" w:bidi="en-US"/>
        </w:rPr>
        <w:t>2.</w:t>
      </w:r>
      <w:r>
        <w:rPr>
          <w:rFonts w:hint="eastAsia" w:ascii="仿宋_GB2312" w:hAnsi="仿宋_GB2312" w:eastAsia="仿宋_GB2312" w:cs="仿宋_GB2312"/>
          <w:b w:val="0"/>
          <w:bCs w:val="0"/>
          <w:color w:val="auto"/>
          <w:spacing w:val="0"/>
          <w:w w:val="100"/>
          <w:position w:val="0"/>
          <w:sz w:val="32"/>
          <w:szCs w:val="32"/>
          <w:lang w:val="en-US" w:eastAsia="zh-CN" w:bidi="en-US"/>
        </w:rPr>
        <w:t>5</w:t>
      </w:r>
      <w:r>
        <w:rPr>
          <w:rFonts w:hint="eastAsia" w:ascii="仿宋_GB2312" w:hAnsi="仿宋_GB2312" w:eastAsia="仿宋_GB2312" w:cs="仿宋_GB2312"/>
          <w:b w:val="0"/>
          <w:bCs w:val="0"/>
          <w:color w:val="auto"/>
          <w:spacing w:val="0"/>
          <w:w w:val="100"/>
          <w:position w:val="0"/>
          <w:sz w:val="32"/>
          <w:szCs w:val="32"/>
        </w:rPr>
        <w:t>司法处理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lang w:val="en-US" w:eastAsia="en-US" w:bidi="en-US"/>
        </w:rPr>
        <w:t>2.</w:t>
      </w:r>
      <w:r>
        <w:rPr>
          <w:rFonts w:hint="eastAsia" w:ascii="仿宋_GB2312" w:hAnsi="仿宋_GB2312" w:eastAsia="仿宋_GB2312" w:cs="仿宋_GB2312"/>
          <w:b w:val="0"/>
          <w:bCs w:val="0"/>
          <w:color w:val="auto"/>
          <w:spacing w:val="0"/>
          <w:w w:val="100"/>
          <w:position w:val="0"/>
          <w:sz w:val="32"/>
          <w:szCs w:val="32"/>
          <w:lang w:val="en-US" w:eastAsia="zh-CN" w:bidi="en-US"/>
        </w:rPr>
        <w:t>5</w:t>
      </w:r>
      <w:r>
        <w:rPr>
          <w:rFonts w:hint="eastAsia" w:ascii="仿宋_GB2312" w:hAnsi="仿宋_GB2312" w:eastAsia="仿宋_GB2312" w:cs="仿宋_GB2312"/>
          <w:b w:val="0"/>
          <w:bCs w:val="0"/>
          <w:color w:val="auto"/>
          <w:spacing w:val="0"/>
          <w:w w:val="100"/>
          <w:position w:val="0"/>
          <w:sz w:val="32"/>
          <w:szCs w:val="32"/>
          <w:lang w:val="en-US" w:eastAsia="en-US" w:bidi="en-US"/>
        </w:rPr>
        <w:t>.1</w:t>
      </w:r>
      <w:r>
        <w:rPr>
          <w:rFonts w:hint="eastAsia" w:ascii="仿宋_GB2312" w:hAnsi="仿宋_GB2312" w:eastAsia="仿宋_GB2312" w:cs="仿宋_GB2312"/>
          <w:b w:val="0"/>
          <w:bCs w:val="0"/>
          <w:color w:val="auto"/>
          <w:spacing w:val="0"/>
          <w:w w:val="100"/>
          <w:position w:val="0"/>
          <w:sz w:val="32"/>
          <w:szCs w:val="32"/>
        </w:rPr>
        <w:t>司法处理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pacing w:val="0"/>
          <w:w w:val="100"/>
          <w:position w:val="0"/>
          <w:sz w:val="32"/>
          <w:szCs w:val="32"/>
        </w:rPr>
        <w:t>评分标准：定点零售药店因欺诈、伪造证明材料或其他手段骗取医疗保障基金或者医疗保障待遇被司法机关追究刑事责任，</w:t>
      </w:r>
      <w:r>
        <w:rPr>
          <w:rFonts w:hint="eastAsia" w:ascii="仿宋_GB2312" w:hAnsi="仿宋_GB2312" w:eastAsia="仿宋_GB2312" w:cs="仿宋_GB2312"/>
          <w:b w:val="0"/>
          <w:bCs w:val="0"/>
          <w:color w:val="000000"/>
          <w:spacing w:val="0"/>
          <w:w w:val="100"/>
          <w:position w:val="0"/>
          <w:sz w:val="32"/>
          <w:szCs w:val="32"/>
        </w:rPr>
        <w:t>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指标值来源：根据</w:t>
      </w:r>
      <w:r>
        <w:rPr>
          <w:rFonts w:hint="eastAsia" w:ascii="仿宋_GB2312" w:hAnsi="仿宋_GB2312" w:eastAsia="仿宋_GB2312" w:cs="仿宋_GB2312"/>
          <w:b w:val="0"/>
          <w:bCs w:val="0"/>
          <w:color w:val="auto"/>
          <w:spacing w:val="0"/>
          <w:w w:val="100"/>
          <w:position w:val="0"/>
          <w:sz w:val="32"/>
          <w:szCs w:val="32"/>
          <w:lang w:val="en-US" w:eastAsia="zh-CN"/>
        </w:rPr>
        <w:t>司法处理</w:t>
      </w:r>
      <w:r>
        <w:rPr>
          <w:rFonts w:hint="eastAsia" w:ascii="仿宋_GB2312" w:hAnsi="仿宋_GB2312" w:eastAsia="仿宋_GB2312" w:cs="仿宋_GB2312"/>
          <w:b w:val="0"/>
          <w:bCs w:val="0"/>
          <w:color w:val="auto"/>
          <w:spacing w:val="0"/>
          <w:w w:val="100"/>
          <w:position w:val="0"/>
          <w:sz w:val="32"/>
          <w:szCs w:val="32"/>
        </w:rPr>
        <w:t>结果。</w:t>
      </w:r>
    </w:p>
    <w:p>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bookmarkStart w:id="10" w:name="bookmark635"/>
      <w:bookmarkStart w:id="11" w:name="bookmark633"/>
      <w:bookmarkStart w:id="12" w:name="bookmark634"/>
      <w:r>
        <w:rPr>
          <w:rFonts w:hint="eastAsia" w:ascii="仿宋_GB2312" w:hAnsi="仿宋_GB2312" w:eastAsia="仿宋_GB2312" w:cs="仿宋_GB2312"/>
          <w:b w:val="0"/>
          <w:bCs w:val="0"/>
          <w:color w:val="000000"/>
          <w:spacing w:val="0"/>
          <w:w w:val="100"/>
          <w:position w:val="0"/>
          <w:sz w:val="32"/>
          <w:szCs w:val="32"/>
          <w:lang w:val="en-US" w:eastAsia="zh-CN"/>
        </w:rPr>
        <w:t>3</w:t>
      </w:r>
      <w:r>
        <w:rPr>
          <w:rFonts w:hint="eastAsia" w:ascii="仿宋_GB2312" w:hAnsi="仿宋_GB2312" w:eastAsia="仿宋_GB2312" w:cs="仿宋_GB2312"/>
          <w:b w:val="0"/>
          <w:bCs w:val="0"/>
          <w:color w:val="000000"/>
          <w:spacing w:val="0"/>
          <w:w w:val="100"/>
          <w:position w:val="0"/>
          <w:sz w:val="32"/>
          <w:szCs w:val="32"/>
        </w:rPr>
        <w:t>社会信用</w:t>
      </w:r>
      <w:bookmarkEnd w:id="10"/>
      <w:bookmarkEnd w:id="11"/>
      <w:bookmarkEnd w:id="12"/>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w:t>
      </w:r>
      <w:r>
        <w:rPr>
          <w:rFonts w:hint="eastAsia" w:ascii="仿宋_GB2312" w:hAnsi="仿宋_GB2312" w:eastAsia="仿宋_GB2312" w:cs="仿宋_GB2312"/>
          <w:b w:val="0"/>
          <w:bCs w:val="0"/>
          <w:color w:val="000000"/>
          <w:spacing w:val="0"/>
          <w:w w:val="100"/>
          <w:position w:val="0"/>
          <w:sz w:val="32"/>
          <w:szCs w:val="32"/>
          <w:lang w:val="en-US" w:eastAsia="zh-CN" w:bidi="en-US"/>
        </w:rPr>
        <w:t>1</w:t>
      </w:r>
      <w:r>
        <w:rPr>
          <w:rFonts w:hint="eastAsia" w:ascii="仿宋_GB2312" w:hAnsi="仿宋_GB2312" w:eastAsia="仿宋_GB2312" w:cs="仿宋_GB2312"/>
          <w:b w:val="0"/>
          <w:bCs w:val="0"/>
          <w:color w:val="000000"/>
          <w:spacing w:val="0"/>
          <w:w w:val="100"/>
          <w:position w:val="0"/>
          <w:sz w:val="32"/>
          <w:szCs w:val="32"/>
        </w:rPr>
        <w:t>失信被执行人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w:t>
      </w:r>
      <w:r>
        <w:rPr>
          <w:rFonts w:hint="eastAsia" w:ascii="仿宋_GB2312" w:hAnsi="仿宋_GB2312" w:eastAsia="仿宋_GB2312" w:cs="仿宋_GB2312"/>
          <w:b w:val="0"/>
          <w:bCs w:val="0"/>
          <w:color w:val="000000"/>
          <w:spacing w:val="0"/>
          <w:w w:val="100"/>
          <w:position w:val="0"/>
          <w:sz w:val="32"/>
          <w:szCs w:val="32"/>
          <w:lang w:val="en-US" w:eastAsia="zh-CN" w:bidi="en-US"/>
        </w:rPr>
        <w:t>1</w:t>
      </w: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rPr>
        <w:t>失信被执行人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w:t>
      </w:r>
      <w:r>
        <w:rPr>
          <w:rFonts w:hint="eastAsia" w:ascii="仿宋_GB2312" w:hAnsi="仿宋_GB2312" w:eastAsia="仿宋_GB2312" w:cs="仿宋_GB2312"/>
          <w:b w:val="0"/>
          <w:bCs w:val="0"/>
          <w:color w:val="000000"/>
          <w:spacing w:val="0"/>
          <w:w w:val="100"/>
          <w:position w:val="0"/>
          <w:sz w:val="32"/>
          <w:szCs w:val="32"/>
          <w:lang w:val="en-US" w:eastAsia="zh-CN"/>
        </w:rPr>
        <w:t>定点</w:t>
      </w:r>
      <w:r>
        <w:rPr>
          <w:rFonts w:hint="eastAsia" w:ascii="仿宋_GB2312" w:hAnsi="仿宋_GB2312" w:eastAsia="仿宋_GB2312" w:cs="仿宋_GB2312"/>
          <w:b w:val="0"/>
          <w:bCs w:val="0"/>
          <w:color w:val="000000"/>
          <w:spacing w:val="0"/>
          <w:w w:val="100"/>
          <w:position w:val="0"/>
          <w:sz w:val="32"/>
          <w:szCs w:val="32"/>
        </w:rPr>
        <w:t>零售药店或其法定代表人、主要负责人和实际控制人被纳入公共信用系统失信</w:t>
      </w:r>
      <w:r>
        <w:rPr>
          <w:rFonts w:hint="eastAsia" w:ascii="仿宋_GB2312" w:hAnsi="仿宋_GB2312" w:eastAsia="仿宋_GB2312" w:cs="仿宋_GB2312"/>
          <w:b w:val="0"/>
          <w:bCs w:val="0"/>
          <w:color w:val="000000"/>
          <w:spacing w:val="0"/>
          <w:w w:val="100"/>
          <w:position w:val="0"/>
          <w:sz w:val="32"/>
          <w:szCs w:val="32"/>
          <w:lang w:val="zh-CN" w:eastAsia="zh-CN" w:bidi="zh-CN"/>
        </w:rPr>
        <w:t>“黑</w:t>
      </w:r>
      <w:r>
        <w:rPr>
          <w:rFonts w:hint="eastAsia" w:ascii="仿宋_GB2312" w:hAnsi="仿宋_GB2312" w:eastAsia="仿宋_GB2312" w:cs="仿宋_GB2312"/>
          <w:b w:val="0"/>
          <w:bCs w:val="0"/>
          <w:color w:val="000000"/>
          <w:spacing w:val="0"/>
          <w:w w:val="100"/>
          <w:position w:val="0"/>
          <w:sz w:val="32"/>
          <w:szCs w:val="32"/>
        </w:rPr>
        <w:t>名单”的。每次扣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w:t>
      </w:r>
      <w:r>
        <w:rPr>
          <w:rFonts w:hint="eastAsia" w:ascii="仿宋_GB2312" w:hAnsi="仿宋_GB2312" w:eastAsia="仿宋_GB2312" w:cs="仿宋_GB2312"/>
          <w:b w:val="0"/>
          <w:bCs w:val="0"/>
          <w:color w:val="auto"/>
          <w:spacing w:val="0"/>
          <w:w w:val="100"/>
          <w:position w:val="0"/>
          <w:sz w:val="32"/>
          <w:szCs w:val="32"/>
          <w:lang w:val="en-US" w:eastAsia="zh-CN" w:bidi="en-US"/>
        </w:rPr>
        <w:t>信用中国（安徽芜湖）平台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w:t>
      </w:r>
      <w:r>
        <w:rPr>
          <w:rFonts w:hint="eastAsia" w:ascii="仿宋_GB2312" w:hAnsi="仿宋_GB2312" w:eastAsia="仿宋_GB2312" w:cs="仿宋_GB2312"/>
          <w:b w:val="0"/>
          <w:bCs w:val="0"/>
          <w:color w:val="000000"/>
          <w:spacing w:val="0"/>
          <w:w w:val="100"/>
          <w:position w:val="0"/>
          <w:sz w:val="32"/>
          <w:szCs w:val="32"/>
          <w:lang w:val="en-US" w:eastAsia="zh-CN" w:bidi="en-US"/>
        </w:rPr>
        <w:t>2</w:t>
      </w:r>
      <w:r>
        <w:rPr>
          <w:rFonts w:hint="eastAsia" w:ascii="仿宋_GB2312" w:hAnsi="仿宋_GB2312" w:eastAsia="仿宋_GB2312" w:cs="仿宋_GB2312"/>
          <w:b w:val="0"/>
          <w:bCs w:val="0"/>
          <w:color w:val="000000"/>
          <w:spacing w:val="0"/>
          <w:w w:val="100"/>
          <w:position w:val="0"/>
          <w:sz w:val="32"/>
          <w:szCs w:val="32"/>
        </w:rPr>
        <w:t>违规移交情况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w:t>
      </w:r>
      <w:r>
        <w:rPr>
          <w:rFonts w:hint="eastAsia" w:ascii="仿宋_GB2312" w:hAnsi="仿宋_GB2312" w:eastAsia="仿宋_GB2312" w:cs="仿宋_GB2312"/>
          <w:b w:val="0"/>
          <w:bCs w:val="0"/>
          <w:color w:val="000000"/>
          <w:spacing w:val="0"/>
          <w:w w:val="100"/>
          <w:position w:val="0"/>
          <w:sz w:val="32"/>
          <w:szCs w:val="32"/>
          <w:lang w:val="en-US" w:eastAsia="zh-CN" w:bidi="en-US"/>
        </w:rPr>
        <w:t>2</w:t>
      </w: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rPr>
        <w:t>违规移交情况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w:t>
      </w:r>
      <w:r>
        <w:rPr>
          <w:rFonts w:hint="eastAsia" w:ascii="仿宋_GB2312" w:hAnsi="仿宋_GB2312" w:eastAsia="仿宋_GB2312" w:cs="仿宋_GB2312"/>
          <w:b w:val="0"/>
          <w:bCs w:val="0"/>
          <w:color w:val="000000"/>
          <w:spacing w:val="0"/>
          <w:w w:val="100"/>
          <w:position w:val="0"/>
          <w:sz w:val="32"/>
          <w:szCs w:val="32"/>
          <w:lang w:val="en-US" w:eastAsia="zh-CN"/>
        </w:rPr>
        <w:t>定点</w:t>
      </w:r>
      <w:r>
        <w:rPr>
          <w:rFonts w:hint="eastAsia" w:ascii="仿宋_GB2312" w:hAnsi="仿宋_GB2312" w:eastAsia="仿宋_GB2312" w:cs="仿宋_GB2312"/>
          <w:b w:val="0"/>
          <w:bCs w:val="0"/>
          <w:color w:val="000000"/>
          <w:spacing w:val="0"/>
          <w:w w:val="100"/>
          <w:position w:val="0"/>
          <w:sz w:val="32"/>
          <w:szCs w:val="32"/>
        </w:rPr>
        <w:t>零售药店涉嫌犯罪或违反其他法律法规的。每次扣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指标值来源：相关部门。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w:t>
      </w: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rPr>
        <w:t>奖励情况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w:t>
      </w: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rPr>
        <w:t>表扬嘉奖</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评分标准：受到医保部门表扬嘉奖的，一次加5分，加满为止。</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指标值来源：医保部门。</w:t>
      </w:r>
    </w:p>
    <w:bookmarkEnd w:id="5"/>
    <w:bookmarkEnd w:id="6"/>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eastAsia="宋体"/>
          <w:color w:val="000000"/>
          <w:spacing w:val="0"/>
          <w:w w:val="100"/>
          <w:position w:val="0"/>
          <w:sz w:val="30"/>
          <w:szCs w:val="30"/>
          <w:lang w:eastAsia="zh-CN"/>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3668395</wp:posOffset>
              </wp:positionH>
              <wp:positionV relativeFrom="page">
                <wp:posOffset>9998075</wp:posOffset>
              </wp:positionV>
              <wp:extent cx="435610" cy="100330"/>
              <wp:effectExtent l="0" t="0" r="0" b="0"/>
              <wp:wrapNone/>
              <wp:docPr id="522" name="Shape 522"/>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22" o:spid="_x0000_s1026" o:spt="202" type="#_x0000_t202" style="position:absolute;left:0pt;margin-left:288.85pt;margin-top:787.25pt;height:7.9pt;width:34.3pt;mso-position-horizontal-relative:page;mso-position-vertical-relative:page;mso-wrap-style:none;z-index:-251657216;mso-width-relative:page;mso-height-relative:page;" filled="f" stroked="f" coordsize="21600,21600" o:gfxdata="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eke&#10;GtkAAAANAQAADwAAAAAAAAABACAAAAAiAAAAZHJzL2Rvd25yZXYueG1sUEsBAhQAFAAAAAgAh07i&#10;QMEAIAGvAQAAcwMAAA4AAAAAAAAAAQAgAAAAKAEAAGRycy9lMm9Eb2MueG1sUEsFBgAAAAAGAAYA&#10;WQEAAEk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3668395</wp:posOffset>
              </wp:positionH>
              <wp:positionV relativeFrom="page">
                <wp:posOffset>9998075</wp:posOffset>
              </wp:positionV>
              <wp:extent cx="435610" cy="100330"/>
              <wp:effectExtent l="0" t="0" r="0" b="0"/>
              <wp:wrapNone/>
              <wp:docPr id="524" name="Shape 524"/>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24" o:spid="_x0000_s1026" o:spt="202" type="#_x0000_t202" style="position:absolute;left:0pt;margin-left:288.85pt;margin-top:787.25pt;height:7.9pt;width:34.3pt;mso-position-horizontal-relative:page;mso-position-vertical-relative:page;mso-wrap-style:none;z-index:-251657216;mso-width-relative:page;mso-height-relative:page;" filled="f" stroked="f" coordsize="21600,21600" o:gfxdata="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eke&#10;GtkAAAANAQAADwAAAAAAAAABACAAAAAiAAAAZHJzL2Rvd25yZXYueG1sUEsBAhQAFAAAAAgAh07i&#10;QL7PKWqvAQAAcwMAAA4AAAAAAAAAAQAgAAAAKAEAAGRycy9lMm9Eb2MueG1sUEsFBgAAAAAGAAYA&#10;WQEAAEk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3690620</wp:posOffset>
              </wp:positionH>
              <wp:positionV relativeFrom="page">
                <wp:posOffset>9973310</wp:posOffset>
              </wp:positionV>
              <wp:extent cx="435610" cy="100330"/>
              <wp:effectExtent l="0" t="0" r="0" b="0"/>
              <wp:wrapNone/>
              <wp:docPr id="526" name="Shape 526"/>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26" o:spid="_x0000_s1026" o:spt="202" type="#_x0000_t202" style="position:absolute;left:0pt;margin-left:290.6pt;margin-top:785.3pt;height:7.9pt;width:34.3pt;mso-position-horizontal-relative:page;mso-position-vertical-relative:page;mso-wrap-style:none;z-index:-251657216;mso-width-relative:page;mso-height-relative:page;" filled="f" stroked="f" coordsize="21600,21600" o:gfxdata="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Z3vv&#10;2AAAAA0BAAAPAAAAAAAAAAEAIAAAACIAAABkcnMvZG93bnJldi54bWxQSwECFAAUAAAACACHTuJA&#10;a3XRTK8BAABzAwAADgAAAAAAAAABACAAAAAnAQAAZHJzL2Uyb0RvYy54bWxQSwUGAAAAAAYABgBZ&#10;AQAAS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3564890</wp:posOffset>
              </wp:positionH>
              <wp:positionV relativeFrom="page">
                <wp:posOffset>10010775</wp:posOffset>
              </wp:positionV>
              <wp:extent cx="676910" cy="103505"/>
              <wp:effectExtent l="0" t="0" r="0" b="0"/>
              <wp:wrapNone/>
              <wp:docPr id="528" name="Shape 528"/>
              <wp:cNvGraphicFramePr/>
              <a:graphic xmlns:a="http://schemas.openxmlformats.org/drawingml/2006/main">
                <a:graphicData uri="http://schemas.microsoft.com/office/word/2010/wordprocessingShape">
                  <wps:wsp>
                    <wps:cNvSpPr txBox="1"/>
                    <wps:spPr>
                      <a:xfrm>
                        <a:off x="0" y="0"/>
                        <a:ext cx="676910" cy="1035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一</w:t>
                          </w:r>
                        </w:p>
                      </w:txbxContent>
                    </wps:txbx>
                    <wps:bodyPr wrap="none" lIns="0" tIns="0" rIns="0" bIns="0">
                      <a:spAutoFit/>
                    </wps:bodyPr>
                  </wps:wsp>
                </a:graphicData>
              </a:graphic>
            </wp:anchor>
          </w:drawing>
        </mc:Choice>
        <mc:Fallback>
          <w:pict>
            <v:shape id="Shape 528" o:spid="_x0000_s1026" o:spt="202" type="#_x0000_t202" style="position:absolute;left:0pt;margin-left:280.7pt;margin-top:788.25pt;height:8.15pt;width:53.3pt;mso-position-horizontal-relative:page;mso-position-vertical-relative:page;mso-wrap-style:none;z-index:-251657216;mso-width-relative:page;mso-height-relative:page;" filled="f" stroked="f" coordsize="21600,21600" o:gfxdata="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k/F7nY&#10;AAAADQEAAA8AAAAAAAAAAQAgAAAAIgAAAGRycy9kb3ducmV2LnhtbFBLAQIUABQAAAAIAIdO4kCc&#10;niUyrgEAAHMDAAAOAAAAAAAAAAEAIAAAACc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一</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3564890</wp:posOffset>
              </wp:positionH>
              <wp:positionV relativeFrom="page">
                <wp:posOffset>10010775</wp:posOffset>
              </wp:positionV>
              <wp:extent cx="676910" cy="103505"/>
              <wp:effectExtent l="0" t="0" r="0" b="0"/>
              <wp:wrapNone/>
              <wp:docPr id="530" name="Shape 530"/>
              <wp:cNvGraphicFramePr/>
              <a:graphic xmlns:a="http://schemas.openxmlformats.org/drawingml/2006/main">
                <a:graphicData uri="http://schemas.microsoft.com/office/word/2010/wordprocessingShape">
                  <wps:wsp>
                    <wps:cNvSpPr txBox="1"/>
                    <wps:spPr>
                      <a:xfrm>
                        <a:off x="0" y="0"/>
                        <a:ext cx="676910" cy="1035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一</w:t>
                          </w:r>
                        </w:p>
                      </w:txbxContent>
                    </wps:txbx>
                    <wps:bodyPr wrap="none" lIns="0" tIns="0" rIns="0" bIns="0">
                      <a:spAutoFit/>
                    </wps:bodyPr>
                  </wps:wsp>
                </a:graphicData>
              </a:graphic>
            </wp:anchor>
          </w:drawing>
        </mc:Choice>
        <mc:Fallback>
          <w:pict>
            <v:shape id="Shape 530" o:spid="_x0000_s1026" o:spt="202" type="#_x0000_t202" style="position:absolute;left:0pt;margin-left:280.7pt;margin-top:788.25pt;height:8.15pt;width:53.3pt;mso-position-horizontal-relative:page;mso-position-vertical-relative:page;mso-wrap-style:none;z-index:-251657216;mso-width-relative:page;mso-height-relative:page;" filled="f" stroked="f" coordsize="21600,21600" o:gfxdata="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k/F7nY&#10;AAAADQEAAA8AAAAAAAAAAQAgAAAAIgAAAGRycy9kb3ducmV2LnhtbFBLAQIUABQAAAAIAIdO4kCY&#10;GTA/rgEAAHMDAAAOAAAAAAAAAAEAIAAAACc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一</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3583305</wp:posOffset>
              </wp:positionH>
              <wp:positionV relativeFrom="page">
                <wp:posOffset>9978390</wp:posOffset>
              </wp:positionV>
              <wp:extent cx="676910" cy="103505"/>
              <wp:effectExtent l="0" t="0" r="0" b="0"/>
              <wp:wrapNone/>
              <wp:docPr id="556" name="Shape 556"/>
              <wp:cNvGraphicFramePr/>
              <a:graphic xmlns:a="http://schemas.openxmlformats.org/drawingml/2006/main">
                <a:graphicData uri="http://schemas.microsoft.com/office/word/2010/wordprocessingShape">
                  <wps:wsp>
                    <wps:cNvSpPr txBox="1"/>
                    <wps:spPr>
                      <a:xfrm>
                        <a:off x="0" y="0"/>
                        <a:ext cx="676910" cy="1035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一</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56" o:spid="_x0000_s1026" o:spt="202" type="#_x0000_t202" style="position:absolute;left:0pt;margin-left:282.15pt;margin-top:785.7pt;height:8.15pt;width:53.3pt;mso-position-horizontal-relative:page;mso-position-vertical-relative:page;mso-wrap-style:none;z-index:-251657216;mso-width-relative:page;mso-height-relative:page;" filled="f" stroked="f" coordsize="21600,21600" o:gfxdata="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TGamXY&#10;AAAADQEAAA8AAAAAAAAAAQAgAAAAIgAAAGRycy9kb3ducmV2LnhtbFBLAQIUABQAAAAIAIdO4kCF&#10;s+iUrgEAAHMDAAAOAAAAAAAAAAEAIAAAACc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一</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3CBD0"/>
    <w:multiLevelType w:val="singleLevel"/>
    <w:tmpl w:val="5613CBD0"/>
    <w:lvl w:ilvl="0" w:tentative="0">
      <w:start w:val="2"/>
      <w:numFmt w:val="chineseCounting"/>
      <w:lvlText w:val="(%1)"/>
      <w:lvlJc w:val="left"/>
      <w:pPr>
        <w:tabs>
          <w:tab w:val="left" w:pos="312"/>
        </w:tabs>
      </w:pPr>
      <w:rPr>
        <w:rFonts w:hint="eastAsia"/>
      </w:rPr>
    </w:lvl>
  </w:abstractNum>
  <w:abstractNum w:abstractNumId="1">
    <w:nsid w:val="7CC33BC4"/>
    <w:multiLevelType w:val="singleLevel"/>
    <w:tmpl w:val="7CC33BC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E2423"/>
    <w:rsid w:val="010B1261"/>
    <w:rsid w:val="029F7154"/>
    <w:rsid w:val="031C1B0A"/>
    <w:rsid w:val="032F1310"/>
    <w:rsid w:val="04051239"/>
    <w:rsid w:val="06B86C28"/>
    <w:rsid w:val="06E25698"/>
    <w:rsid w:val="072B2DAF"/>
    <w:rsid w:val="07F626D4"/>
    <w:rsid w:val="08760957"/>
    <w:rsid w:val="08B80F70"/>
    <w:rsid w:val="091268D2"/>
    <w:rsid w:val="09FE6E56"/>
    <w:rsid w:val="0A4D56E8"/>
    <w:rsid w:val="0A620624"/>
    <w:rsid w:val="0BA457DB"/>
    <w:rsid w:val="0C441044"/>
    <w:rsid w:val="0CC003F3"/>
    <w:rsid w:val="0D2210AE"/>
    <w:rsid w:val="0E012A71"/>
    <w:rsid w:val="0E8A2A67"/>
    <w:rsid w:val="0F0A5EF6"/>
    <w:rsid w:val="0F5033D4"/>
    <w:rsid w:val="0FE47576"/>
    <w:rsid w:val="10141182"/>
    <w:rsid w:val="10D72B2B"/>
    <w:rsid w:val="121E232E"/>
    <w:rsid w:val="12E25944"/>
    <w:rsid w:val="13F679B4"/>
    <w:rsid w:val="147F6DE6"/>
    <w:rsid w:val="14956609"/>
    <w:rsid w:val="150A062C"/>
    <w:rsid w:val="15602773"/>
    <w:rsid w:val="157C27C9"/>
    <w:rsid w:val="15AF7257"/>
    <w:rsid w:val="161B13E4"/>
    <w:rsid w:val="163C4F8E"/>
    <w:rsid w:val="17ED5805"/>
    <w:rsid w:val="18243F2C"/>
    <w:rsid w:val="184616E8"/>
    <w:rsid w:val="185430AC"/>
    <w:rsid w:val="189F141F"/>
    <w:rsid w:val="1A420699"/>
    <w:rsid w:val="1B495A57"/>
    <w:rsid w:val="1BC75E94"/>
    <w:rsid w:val="1BE835D7"/>
    <w:rsid w:val="1C9A61BB"/>
    <w:rsid w:val="1D097545"/>
    <w:rsid w:val="1D250EDA"/>
    <w:rsid w:val="1D7C0366"/>
    <w:rsid w:val="1DE859FC"/>
    <w:rsid w:val="1E3D5D47"/>
    <w:rsid w:val="1EC975DB"/>
    <w:rsid w:val="1F132604"/>
    <w:rsid w:val="1F3B76DF"/>
    <w:rsid w:val="1FA454ED"/>
    <w:rsid w:val="1FC95A99"/>
    <w:rsid w:val="20EF0E4F"/>
    <w:rsid w:val="21A8797C"/>
    <w:rsid w:val="21DC44CE"/>
    <w:rsid w:val="2285391D"/>
    <w:rsid w:val="22C541CF"/>
    <w:rsid w:val="248875F1"/>
    <w:rsid w:val="24991E89"/>
    <w:rsid w:val="24F1163A"/>
    <w:rsid w:val="25513E86"/>
    <w:rsid w:val="25A641D2"/>
    <w:rsid w:val="26855A4F"/>
    <w:rsid w:val="27037402"/>
    <w:rsid w:val="29AF0E04"/>
    <w:rsid w:val="29F51284"/>
    <w:rsid w:val="2A9A007E"/>
    <w:rsid w:val="2AC20287"/>
    <w:rsid w:val="2B286C3A"/>
    <w:rsid w:val="2B911481"/>
    <w:rsid w:val="2BC95556"/>
    <w:rsid w:val="2CEB696E"/>
    <w:rsid w:val="2DB927BB"/>
    <w:rsid w:val="2EF83CA8"/>
    <w:rsid w:val="30823A8E"/>
    <w:rsid w:val="30C23E8A"/>
    <w:rsid w:val="30F74B66"/>
    <w:rsid w:val="31A812D2"/>
    <w:rsid w:val="322222E5"/>
    <w:rsid w:val="32E15811"/>
    <w:rsid w:val="33490893"/>
    <w:rsid w:val="33B45D0C"/>
    <w:rsid w:val="33E217D9"/>
    <w:rsid w:val="33E32A95"/>
    <w:rsid w:val="34DF30E7"/>
    <w:rsid w:val="34F30AB6"/>
    <w:rsid w:val="353A3B27"/>
    <w:rsid w:val="36F303B8"/>
    <w:rsid w:val="376578FE"/>
    <w:rsid w:val="382C5E49"/>
    <w:rsid w:val="3940672A"/>
    <w:rsid w:val="39E8099F"/>
    <w:rsid w:val="3A4C2E2C"/>
    <w:rsid w:val="3AA40077"/>
    <w:rsid w:val="3C9E57AB"/>
    <w:rsid w:val="3CAD3C40"/>
    <w:rsid w:val="3D221248"/>
    <w:rsid w:val="3D421874"/>
    <w:rsid w:val="3E4E2423"/>
    <w:rsid w:val="3ED01E68"/>
    <w:rsid w:val="3F2752A1"/>
    <w:rsid w:val="3F283A52"/>
    <w:rsid w:val="3F2A0EDF"/>
    <w:rsid w:val="41466412"/>
    <w:rsid w:val="41690220"/>
    <w:rsid w:val="42FD18E1"/>
    <w:rsid w:val="436A5D90"/>
    <w:rsid w:val="45633716"/>
    <w:rsid w:val="45A32084"/>
    <w:rsid w:val="469A3487"/>
    <w:rsid w:val="46D01EA2"/>
    <w:rsid w:val="46E666CD"/>
    <w:rsid w:val="473A378E"/>
    <w:rsid w:val="483A1CEE"/>
    <w:rsid w:val="484957E5"/>
    <w:rsid w:val="48A51C70"/>
    <w:rsid w:val="495A0CAC"/>
    <w:rsid w:val="49B908BC"/>
    <w:rsid w:val="4A2D29CC"/>
    <w:rsid w:val="4A2F4538"/>
    <w:rsid w:val="4AB4263E"/>
    <w:rsid w:val="4ACE54AE"/>
    <w:rsid w:val="4AD66A58"/>
    <w:rsid w:val="4AFD3FE5"/>
    <w:rsid w:val="4B3814C1"/>
    <w:rsid w:val="4B8169C4"/>
    <w:rsid w:val="4BE1607C"/>
    <w:rsid w:val="4C432784"/>
    <w:rsid w:val="4C51049A"/>
    <w:rsid w:val="4C64110B"/>
    <w:rsid w:val="4C7B10AA"/>
    <w:rsid w:val="4C8D179C"/>
    <w:rsid w:val="4CB24DE4"/>
    <w:rsid w:val="4CD80866"/>
    <w:rsid w:val="4E8E65C1"/>
    <w:rsid w:val="4EB45CE9"/>
    <w:rsid w:val="4EE47996"/>
    <w:rsid w:val="4FA04497"/>
    <w:rsid w:val="5049140A"/>
    <w:rsid w:val="5237266C"/>
    <w:rsid w:val="534A7FE3"/>
    <w:rsid w:val="536536CD"/>
    <w:rsid w:val="539F391C"/>
    <w:rsid w:val="5462276D"/>
    <w:rsid w:val="556D17E3"/>
    <w:rsid w:val="5669226E"/>
    <w:rsid w:val="573944DA"/>
    <w:rsid w:val="57566F57"/>
    <w:rsid w:val="576A1722"/>
    <w:rsid w:val="576B5048"/>
    <w:rsid w:val="57D65496"/>
    <w:rsid w:val="57E80FEC"/>
    <w:rsid w:val="58353010"/>
    <w:rsid w:val="583A0626"/>
    <w:rsid w:val="583A6878"/>
    <w:rsid w:val="589B5798"/>
    <w:rsid w:val="589D0BB5"/>
    <w:rsid w:val="58AB1524"/>
    <w:rsid w:val="59492A03"/>
    <w:rsid w:val="599124C8"/>
    <w:rsid w:val="599C6D5A"/>
    <w:rsid w:val="5A0B50DC"/>
    <w:rsid w:val="5A2575E9"/>
    <w:rsid w:val="5A40288B"/>
    <w:rsid w:val="5AC02939"/>
    <w:rsid w:val="5B4C6079"/>
    <w:rsid w:val="5B6B0AF7"/>
    <w:rsid w:val="5DC56BE4"/>
    <w:rsid w:val="5EAA549F"/>
    <w:rsid w:val="5F260774"/>
    <w:rsid w:val="5F5D4BFA"/>
    <w:rsid w:val="5F93686E"/>
    <w:rsid w:val="6046490E"/>
    <w:rsid w:val="6050587B"/>
    <w:rsid w:val="60CE284F"/>
    <w:rsid w:val="60CE5DB0"/>
    <w:rsid w:val="61706E67"/>
    <w:rsid w:val="628C1A7E"/>
    <w:rsid w:val="638E5CCA"/>
    <w:rsid w:val="63DD4522"/>
    <w:rsid w:val="65314B5F"/>
    <w:rsid w:val="655660C9"/>
    <w:rsid w:val="656C5B5F"/>
    <w:rsid w:val="66351B88"/>
    <w:rsid w:val="66381E4D"/>
    <w:rsid w:val="665C14BD"/>
    <w:rsid w:val="66B423EC"/>
    <w:rsid w:val="66CB4B3F"/>
    <w:rsid w:val="676669E2"/>
    <w:rsid w:val="68792AA5"/>
    <w:rsid w:val="68A76C8B"/>
    <w:rsid w:val="6B0552F1"/>
    <w:rsid w:val="6B485F79"/>
    <w:rsid w:val="6C783074"/>
    <w:rsid w:val="6CA16A6E"/>
    <w:rsid w:val="6CD41B88"/>
    <w:rsid w:val="6D627F42"/>
    <w:rsid w:val="6D832633"/>
    <w:rsid w:val="6D8A005B"/>
    <w:rsid w:val="6DAA54AF"/>
    <w:rsid w:val="6DFB5D0A"/>
    <w:rsid w:val="6E7D0E15"/>
    <w:rsid w:val="6E95544B"/>
    <w:rsid w:val="6FB50491"/>
    <w:rsid w:val="704C0A9F"/>
    <w:rsid w:val="70C42D2B"/>
    <w:rsid w:val="70D23232"/>
    <w:rsid w:val="70E24F2A"/>
    <w:rsid w:val="71B30E36"/>
    <w:rsid w:val="728C4DF1"/>
    <w:rsid w:val="73B476CA"/>
    <w:rsid w:val="745D327B"/>
    <w:rsid w:val="74604B19"/>
    <w:rsid w:val="74730CF0"/>
    <w:rsid w:val="7507768A"/>
    <w:rsid w:val="75D03F20"/>
    <w:rsid w:val="76630022"/>
    <w:rsid w:val="76BA32CF"/>
    <w:rsid w:val="79BE0C60"/>
    <w:rsid w:val="7A74131E"/>
    <w:rsid w:val="7AA00365"/>
    <w:rsid w:val="7AFC584B"/>
    <w:rsid w:val="7B2A5E81"/>
    <w:rsid w:val="7CD460A4"/>
    <w:rsid w:val="7CFA484D"/>
    <w:rsid w:val="7D957F29"/>
    <w:rsid w:val="7E7E276B"/>
    <w:rsid w:val="7EB85585"/>
    <w:rsid w:val="7FD10FC1"/>
    <w:rsid w:val="7FFA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Table caption|1"/>
    <w:basedOn w:val="1"/>
    <w:qFormat/>
    <w:uiPriority w:val="0"/>
    <w:pPr>
      <w:widowControl w:val="0"/>
      <w:shd w:val="clear" w:color="auto" w:fill="auto"/>
    </w:pPr>
    <w:rPr>
      <w:rFonts w:ascii="宋体" w:hAnsi="宋体" w:eastAsia="宋体" w:cs="宋体"/>
      <w:color w:val="C0C3CC"/>
      <w:sz w:val="8"/>
      <w:szCs w:val="8"/>
      <w:u w:val="none"/>
      <w:shd w:val="clear" w:color="auto" w:fill="auto"/>
      <w:lang w:val="zh-TW" w:eastAsia="zh-TW" w:bidi="zh-TW"/>
    </w:rPr>
  </w:style>
  <w:style w:type="paragraph" w:customStyle="1" w:styleId="8">
    <w:name w:val="Heading #4|1"/>
    <w:basedOn w:val="1"/>
    <w:qFormat/>
    <w:uiPriority w:val="0"/>
    <w:pPr>
      <w:widowControl w:val="0"/>
      <w:shd w:val="clear" w:color="auto" w:fill="auto"/>
      <w:spacing w:before="1220" w:after="800"/>
      <w:jc w:val="center"/>
      <w:outlineLvl w:val="3"/>
    </w:pPr>
    <w:rPr>
      <w:rFonts w:ascii="宋体" w:hAnsi="宋体" w:eastAsia="宋体" w:cs="宋体"/>
      <w:b/>
      <w:bCs/>
      <w:sz w:val="52"/>
      <w:szCs w:val="52"/>
      <w:u w:val="none"/>
      <w:shd w:val="clear" w:color="auto" w:fill="auto"/>
      <w:lang w:val="zh-TW" w:eastAsia="zh-TW" w:bidi="zh-TW"/>
    </w:rPr>
  </w:style>
  <w:style w:type="paragraph" w:customStyle="1" w:styleId="9">
    <w:name w:val="Header or foot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2022-02-05T05:50:00Z</dcterms:created>
  <dc:creator>夜空中最亮的星</dc:creator>
  <cp:lastModifiedBy>夜空中最亮的星</cp:lastModifiedBy>
  <dcterms:modified xsi:type="dcterms:W3CDTF">2022-03-01T00:33:23Z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D9E7A2B2362D4EAF91EAFA5CA3A383A6</vt:lpwstr>
  </property>
</Properties>
</file>