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jc w:val="both"/>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spacing w:line="590" w:lineRule="exact"/>
        <w:jc w:val="both"/>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Times New Roman" w:hAnsi="Times New Roman" w:eastAsia="方正小标宋_GBK" w:cs="Times New Roman"/>
          <w:bCs/>
          <w:color w:val="000000"/>
          <w:sz w:val="44"/>
          <w:szCs w:val="44"/>
          <w:lang w:val="en-US" w:eastAsia="zh-CN"/>
        </w:rPr>
      </w:pPr>
      <w:r>
        <w:rPr>
          <w:rFonts w:hint="eastAsia" w:ascii="Times New Roman" w:hAnsi="Times New Roman" w:eastAsia="方正小标宋_GBK" w:cs="Times New Roman"/>
          <w:bCs/>
          <w:color w:val="000000"/>
          <w:sz w:val="44"/>
          <w:szCs w:val="44"/>
          <w:lang w:val="en-US" w:eastAsia="zh-CN"/>
        </w:rPr>
        <w:t>关于印发落实《国家组织药品集中采购政策</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Times New Roman" w:hAnsi="Times New Roman" w:eastAsia="方正小标宋_GBK" w:cs="Times New Roman"/>
          <w:bCs/>
          <w:color w:val="000000"/>
          <w:sz w:val="44"/>
          <w:szCs w:val="44"/>
          <w:lang w:val="en-US" w:eastAsia="zh-CN"/>
        </w:rPr>
      </w:pPr>
      <w:r>
        <w:rPr>
          <w:rFonts w:hint="eastAsia" w:ascii="Times New Roman" w:hAnsi="Times New Roman" w:eastAsia="方正小标宋_GBK" w:cs="Times New Roman"/>
          <w:bCs/>
          <w:color w:val="000000"/>
          <w:sz w:val="44"/>
          <w:szCs w:val="44"/>
          <w:lang w:val="en-US" w:eastAsia="zh-CN"/>
        </w:rPr>
        <w:t>医保资金结余留用实施办法》的通知（试行）</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芜医保〔2021〕7号</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各县市区医保局、经开区人社局、三山经开区医疗卫生局、财政局，市药管中心、市医保中心、各相关医疗机构：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为全面贯彻落实国家组织药品集中采购政策，提升医疗机构参与药品集中带量采购工作积极性，增强联动改革效应，根据国家医保局 财政部《关于国家组织药品集中采购工作中医保资金结余留用的指导意见》（医保发〔2020〕26号）和省医保局 财政厅《关于贯彻落实国家组织药品集中采购工作中医保资金结余留用政策的实施意见》（皖医保秘〔2020〕88号）精神，结合我市实际，制定以下实施办法：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一、实行集采药品医保资金专项预算管理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各级医保部门在对定点医疗机构的总额预算或总额控制指标内，对纳入国家组织集中釆购的医保目录内药品（以下简称“集釆药品"），在釆购周期内按年度实施医保资金预算管理，范围仅限城镇职工、城乡居民门诊慢性病及城乡居民普通门诊使用的集采药品。医保资金预算具体计算公式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集釆药品医保资金专项预算额=中选产品约定釆购量×集采前中选产品平均价格×上年度医保基金实际支付比例×上年度集釆中选产品参保患者使用量占比</w:t>
      </w:r>
    </w:p>
    <w:p>
      <w:pPr>
        <w:keepNext w:val="0"/>
        <w:keepLines w:val="0"/>
        <w:pageBreakBefore w:val="0"/>
        <w:widowControl w:val="0"/>
        <w:kinsoku/>
        <w:wordWrap/>
        <w:overflowPunct/>
        <w:topLinePunct w:val="0"/>
        <w:autoSpaceDE/>
        <w:autoSpaceDN/>
        <w:bidi w:val="0"/>
        <w:spacing w:line="590" w:lineRule="exact"/>
        <w:ind w:firstLine="642"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color w:val="000000"/>
          <w:kern w:val="2"/>
          <w:sz w:val="32"/>
          <w:szCs w:val="32"/>
          <w:lang w:val="en-US" w:eastAsia="zh-CN"/>
        </w:rPr>
        <w:t>1．</w:t>
      </w:r>
      <w:r>
        <w:rPr>
          <w:rFonts w:hint="eastAsia" w:ascii="Times New Roman" w:hAnsi="Times New Roman" w:eastAsia="方正仿宋_GBK" w:cs="Times New Roman"/>
          <w:color w:val="000000"/>
          <w:kern w:val="0"/>
          <w:sz w:val="32"/>
          <w:szCs w:val="32"/>
          <w:lang w:val="en-US" w:eastAsia="zh-CN"/>
        </w:rPr>
        <w:t>中选产品约定釆购量（各级医保局提供）。指定点医疗机构集采药品约定采购量，中选产品约定采购量和约定使用比例以执行各批次集采药品中选结果的通知为准。</w:t>
      </w:r>
    </w:p>
    <w:p>
      <w:pPr>
        <w:keepNext w:val="0"/>
        <w:keepLines w:val="0"/>
        <w:pageBreakBefore w:val="0"/>
        <w:widowControl w:val="0"/>
        <w:kinsoku/>
        <w:wordWrap/>
        <w:overflowPunct/>
        <w:topLinePunct w:val="0"/>
        <w:autoSpaceDE/>
        <w:autoSpaceDN/>
        <w:bidi w:val="0"/>
        <w:spacing w:line="590" w:lineRule="exact"/>
        <w:ind w:firstLine="642"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color w:val="000000"/>
          <w:kern w:val="2"/>
          <w:sz w:val="32"/>
          <w:szCs w:val="32"/>
          <w:lang w:val="en-US" w:eastAsia="zh-CN"/>
        </w:rPr>
        <w:t>2</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rPr>
        <w:t>集采前中选产品平均价格（市医保局提供）,指集采药品集采前价格。根据上年度集采前网上实际采购平均价格，供各统筹地区参考使用。</w:t>
      </w:r>
    </w:p>
    <w:p>
      <w:pPr>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集采前中选产品平均价格＝上年度集采前网上中选药品采购总金额/上年度药品采购总数量</w:t>
      </w:r>
    </w:p>
    <w:p>
      <w:pPr>
        <w:keepNext w:val="0"/>
        <w:keepLines w:val="0"/>
        <w:pageBreakBefore w:val="0"/>
        <w:widowControl w:val="0"/>
        <w:kinsoku/>
        <w:wordWrap/>
        <w:overflowPunct/>
        <w:topLinePunct w:val="0"/>
        <w:autoSpaceDE/>
        <w:autoSpaceDN/>
        <w:bidi w:val="0"/>
        <w:spacing w:line="590" w:lineRule="exact"/>
        <w:ind w:firstLine="642"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color w:val="000000"/>
          <w:kern w:val="2"/>
          <w:sz w:val="32"/>
          <w:szCs w:val="32"/>
          <w:lang w:val="en-US" w:eastAsia="zh-CN"/>
        </w:rPr>
        <w:t>3</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rPr>
        <w:t>医保统筹基金实际支付比例（各级医保经办部门提供）,指集采前上年度医保统筹基金实际支付比例。集采药品因降价而节约的药品费用当中，非医保统筹基金支付部分，不实行结余留用。各县（市）区应根据上年度所辖定点医疗机构的医保结算数据确定。</w:t>
      </w:r>
    </w:p>
    <w:p>
      <w:pPr>
        <w:keepNext w:val="0"/>
        <w:keepLines w:val="0"/>
        <w:pageBreakBefore w:val="0"/>
        <w:widowControl w:val="0"/>
        <w:kinsoku/>
        <w:wordWrap/>
        <w:overflowPunct/>
        <w:topLinePunct w:val="0"/>
        <w:autoSpaceDE/>
        <w:autoSpaceDN/>
        <w:bidi w:val="0"/>
        <w:spacing w:line="590" w:lineRule="exact"/>
        <w:ind w:firstLine="642"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color w:val="000000"/>
          <w:kern w:val="2"/>
          <w:sz w:val="32"/>
          <w:szCs w:val="32"/>
          <w:lang w:val="en-US" w:eastAsia="zh-CN"/>
        </w:rPr>
        <w:t>4</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rPr>
        <w:t>集采中选产品参保患者使用量占比（各级医保经办部门提供）,指定点医疗机构所在地的参保患者集采中选产品使用量占该集采药品使用量的比例。各县（市）区应根据上年度所辖定点医疗机构的医保结算数据确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二、核定结余留用金额</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根据定点医疗机构中选产品约定采购量和中选价格，以及医保统筹基金实际支付比例和集采中选产品参保患者使用量占比等因素，计算定点医疗机构集采药品医保支出金额，低于集采药品医保资金预算的部分，即为结余留用金额。具体计算公式为：</w:t>
      </w:r>
    </w:p>
    <w:p>
      <w:pPr>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结余测算基数=集采药品医保资金预算－（中选产品约定釆购量×中选价格）×当年度医保基金实际支付比例×当年度集采中选产品参保患者使用量占比其中，中选产品约定釆购量（各级医保局提供）；中选价格（市医保局提供）为集釆药品中选结果。</w:t>
      </w:r>
    </w:p>
    <w:p>
      <w:pPr>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结余留用金额=结余测算基数×结余留用比例</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三、实施集采药品专项考核</w:t>
      </w:r>
    </w:p>
    <w:p>
      <w:pPr>
        <w:keepNext w:val="0"/>
        <w:keepLines w:val="0"/>
        <w:pageBreakBefore w:val="0"/>
        <w:widowControl w:val="0"/>
        <w:kinsoku/>
        <w:wordWrap/>
        <w:overflowPunct/>
        <w:topLinePunct w:val="0"/>
        <w:autoSpaceDE/>
        <w:autoSpaceDN/>
        <w:bidi w:val="0"/>
        <w:spacing w:line="590" w:lineRule="exact"/>
        <w:ind w:firstLine="642"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color w:val="000000"/>
          <w:kern w:val="2"/>
          <w:sz w:val="32"/>
          <w:szCs w:val="32"/>
          <w:lang w:val="en-US" w:eastAsia="zh-CN"/>
        </w:rPr>
        <w:t>1</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rPr>
        <w:t>考核内容：包括执行药品集中采购相关规定、合理控制药品费用和落实集采、价格等改革政策情况（见附件）。</w:t>
      </w:r>
    </w:p>
    <w:p>
      <w:pPr>
        <w:keepNext w:val="0"/>
        <w:keepLines w:val="0"/>
        <w:pageBreakBefore w:val="0"/>
        <w:widowControl w:val="0"/>
        <w:kinsoku/>
        <w:wordWrap/>
        <w:overflowPunct/>
        <w:topLinePunct w:val="0"/>
        <w:autoSpaceDE/>
        <w:autoSpaceDN/>
        <w:bidi w:val="0"/>
        <w:spacing w:line="590" w:lineRule="exact"/>
        <w:ind w:firstLine="642"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color w:val="000000"/>
          <w:kern w:val="2"/>
          <w:sz w:val="32"/>
          <w:szCs w:val="32"/>
          <w:lang w:val="en-US" w:eastAsia="zh-CN"/>
        </w:rPr>
        <w:t>2</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rPr>
        <w:t>考核方式：各级医保局负责牵头做好辖区定点公立医疗机构的打分，市属公立医疗机构打分由市药管中心牵头负责。各级医保经办机构负责根据得分对医保基金结余留用金额进行测算，并完成对辖区定点公立医疗机构结余留用基金的拨付。已实施医共体总额预算支付方式改革的县（区）除外。</w:t>
      </w:r>
    </w:p>
    <w:p>
      <w:pPr>
        <w:keepNext w:val="0"/>
        <w:keepLines w:val="0"/>
        <w:pageBreakBefore w:val="0"/>
        <w:widowControl w:val="0"/>
        <w:kinsoku/>
        <w:wordWrap/>
        <w:overflowPunct/>
        <w:topLinePunct w:val="0"/>
        <w:autoSpaceDE/>
        <w:autoSpaceDN/>
        <w:bidi w:val="0"/>
        <w:spacing w:line="590" w:lineRule="exact"/>
        <w:ind w:firstLine="642"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color w:val="000000"/>
          <w:kern w:val="2"/>
          <w:sz w:val="32"/>
          <w:szCs w:val="32"/>
          <w:lang w:val="en-US" w:eastAsia="zh-CN"/>
        </w:rPr>
        <w:t>3</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rPr>
        <w:t>结果运用：根据考核内容及分值进行评分，总分80分及以上为优秀，由统筹地区按结余测算基数的50%向定点医疗机构支付结余留用医保资金；60（含60）-80分为合格, 由统筹地区按结余测算基数的25%向定点医疗机构支付结余留用医保资金；总分60分以下为不合格，不予支付结余留用医保资金。</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四、规范结余留用资金管理</w:t>
      </w:r>
    </w:p>
    <w:p>
      <w:pPr>
        <w:keepNext w:val="0"/>
        <w:keepLines w:val="0"/>
        <w:pageBreakBefore w:val="0"/>
        <w:widowControl w:val="0"/>
        <w:kinsoku/>
        <w:wordWrap/>
        <w:overflowPunct/>
        <w:topLinePunct w:val="0"/>
        <w:autoSpaceDE/>
        <w:autoSpaceDN/>
        <w:bidi w:val="0"/>
        <w:spacing w:line="590" w:lineRule="exact"/>
        <w:ind w:firstLine="642"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color w:val="000000"/>
          <w:kern w:val="2"/>
          <w:sz w:val="32"/>
          <w:szCs w:val="32"/>
          <w:lang w:val="en-US" w:eastAsia="zh-CN"/>
        </w:rPr>
        <w:t>1</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rPr>
        <w:t>结算留用资金。集釆药品结余留用支出列入基本医疗保险待遇支出科目，各级医保经办机构对考核合格的医 疗机构按年度进行支付。</w:t>
      </w:r>
    </w:p>
    <w:p>
      <w:pPr>
        <w:keepNext w:val="0"/>
        <w:keepLines w:val="0"/>
        <w:pageBreakBefore w:val="0"/>
        <w:widowControl w:val="0"/>
        <w:kinsoku/>
        <w:wordWrap/>
        <w:overflowPunct/>
        <w:topLinePunct w:val="0"/>
        <w:autoSpaceDE/>
        <w:autoSpaceDN/>
        <w:bidi w:val="0"/>
        <w:spacing w:line="590" w:lineRule="exact"/>
        <w:ind w:firstLine="642"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bCs w:val="0"/>
          <w:color w:val="000000"/>
          <w:kern w:val="2"/>
          <w:sz w:val="32"/>
          <w:szCs w:val="32"/>
          <w:lang w:val="en-US" w:eastAsia="zh-CN"/>
        </w:rPr>
        <w:t>2</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rPr>
        <w:t>规范资金使用。定点医疗机构要完善内部考核分配办法，根据考核结果分配结余留用资金，主要用于相关人员绩效，激励其合理用药、优先使用中选产品。定点医疗机构要按照要求做好财务核算，接受相关部门审计核查，提升精细化管理水平。</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五、工作要求</w:t>
      </w:r>
    </w:p>
    <w:p>
      <w:pPr>
        <w:keepNext w:val="0"/>
        <w:keepLines w:val="0"/>
        <w:pageBreakBefore w:val="0"/>
        <w:widowControl w:val="0"/>
        <w:kinsoku/>
        <w:wordWrap/>
        <w:overflowPunct/>
        <w:topLinePunct w:val="0"/>
        <w:autoSpaceDE/>
        <w:autoSpaceDN/>
        <w:bidi w:val="0"/>
        <w:spacing w:line="590" w:lineRule="exact"/>
        <w:ind w:firstLine="642"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bCs w:val="0"/>
          <w:color w:val="000000"/>
          <w:kern w:val="2"/>
          <w:sz w:val="32"/>
          <w:szCs w:val="32"/>
          <w:lang w:val="en-US" w:eastAsia="zh-CN"/>
        </w:rPr>
        <w:t>1</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rPr>
        <w:t>各级医保部门要根据本实施方案，会同财政部门落实医疗机构结余留用政策，做好集釆药品医保资金预算管理、 定点医疗机构考核、结余留用资金核定和结算等工作。</w:t>
      </w:r>
    </w:p>
    <w:p>
      <w:pPr>
        <w:keepNext w:val="0"/>
        <w:keepLines w:val="0"/>
        <w:pageBreakBefore w:val="0"/>
        <w:widowControl w:val="0"/>
        <w:kinsoku/>
        <w:wordWrap/>
        <w:overflowPunct/>
        <w:topLinePunct w:val="0"/>
        <w:autoSpaceDE/>
        <w:autoSpaceDN/>
        <w:bidi w:val="0"/>
        <w:spacing w:line="590" w:lineRule="exact"/>
        <w:ind w:firstLine="642"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bCs w:val="0"/>
          <w:color w:val="000000"/>
          <w:kern w:val="2"/>
          <w:sz w:val="32"/>
          <w:szCs w:val="32"/>
          <w:lang w:val="en-US" w:eastAsia="zh-CN"/>
        </w:rPr>
        <w:t>2</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rPr>
        <w:t>各医保经办机构会同定点医疗机构加强资金管理使用，充分发挥结余留用医保资金激励约束作用，进一步规范集釆药品釆购、 使用和回款工作，如实填报约定釆购量、优先使用中选药品、 严格履行协议约定，实现集采药品结余留用医保资金的最大化。</w:t>
      </w:r>
    </w:p>
    <w:p>
      <w:pPr>
        <w:keepNext w:val="0"/>
        <w:keepLines w:val="0"/>
        <w:pageBreakBefore w:val="0"/>
        <w:widowControl w:val="0"/>
        <w:kinsoku/>
        <w:wordWrap/>
        <w:overflowPunct/>
        <w:topLinePunct w:val="0"/>
        <w:autoSpaceDE/>
        <w:autoSpaceDN/>
        <w:bidi w:val="0"/>
        <w:spacing w:line="590" w:lineRule="exact"/>
        <w:ind w:firstLine="321" w:firstLineChars="1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bCs w:val="0"/>
          <w:color w:val="000000"/>
          <w:kern w:val="2"/>
          <w:sz w:val="32"/>
          <w:szCs w:val="32"/>
          <w:lang w:val="en-US" w:eastAsia="zh-CN"/>
        </w:rPr>
        <w:t>3</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rPr>
        <w:t>各级医保部门要切实加强集釆药品医保资金结余留用工作的宣传引导，做好结余留用、中选药品医保支付标准调整、医保支付方式改革、财政补助等相关政策的衔接， 避免重复补偿，确保工作实效。</w:t>
      </w:r>
    </w:p>
    <w:p>
      <w:pPr>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附件：定点公立医疗机构考核指标及分值</w:t>
      </w:r>
    </w:p>
    <w:p>
      <w:pPr>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val="0"/>
        <w:overflowPunct/>
        <w:topLinePunct w:val="0"/>
        <w:autoSpaceDE/>
        <w:autoSpaceDN/>
        <w:bidi w:val="0"/>
        <w:spacing w:line="590" w:lineRule="exact"/>
        <w:jc w:val="right"/>
        <w:textAlignment w:val="auto"/>
        <w:rPr>
          <w:rFonts w:hint="default"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val="en-US" w:eastAsia="zh-CN" w:bidi="ar"/>
        </w:rPr>
        <w:t xml:space="preserve">芜湖市医疗保障局     </w:t>
      </w:r>
    </w:p>
    <w:p>
      <w:pPr>
        <w:keepNext w:val="0"/>
        <w:keepLines w:val="0"/>
        <w:pageBreakBefore w:val="0"/>
        <w:widowControl w:val="0"/>
        <w:kinsoku/>
        <w:wordWrap w:val="0"/>
        <w:overflowPunct/>
        <w:topLinePunct w:val="0"/>
        <w:autoSpaceDE/>
        <w:autoSpaceDN/>
        <w:bidi w:val="0"/>
        <w:spacing w:line="590" w:lineRule="exact"/>
        <w:jc w:val="right"/>
        <w:textAlignment w:val="auto"/>
        <w:rPr>
          <w:rFonts w:hint="default"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val="en-US" w:eastAsia="zh-CN" w:bidi="ar"/>
        </w:rPr>
        <w:t xml:space="preserve">芜湖市财政局     </w:t>
      </w:r>
    </w:p>
    <w:p>
      <w:pPr>
        <w:keepNext w:val="0"/>
        <w:keepLines w:val="0"/>
        <w:pageBreakBefore w:val="0"/>
        <w:widowControl w:val="0"/>
        <w:kinsoku/>
        <w:wordWrap w:val="0"/>
        <w:overflowPunct/>
        <w:topLinePunct w:val="0"/>
        <w:autoSpaceDE/>
        <w:autoSpaceDN/>
        <w:bidi w:val="0"/>
        <w:spacing w:line="590" w:lineRule="exact"/>
        <w:jc w:val="right"/>
        <w:textAlignment w:val="auto"/>
        <w:rPr>
          <w:rFonts w:hint="default" w:ascii="方正仿宋_GBK" w:hAnsi="方正仿宋_GBK" w:eastAsia="方正仿宋_GBK" w:cs="方正仿宋_GBK"/>
          <w:sz w:val="32"/>
          <w:szCs w:val="32"/>
          <w:lang w:val="en-US" w:eastAsia="zh-CN" w:bidi="ar"/>
        </w:rPr>
      </w:pPr>
      <w:r>
        <w:rPr>
          <w:rFonts w:hint="eastAsia" w:ascii="Times New Roman" w:hAnsi="Times New Roman" w:eastAsia="方正仿宋_GBK" w:cs="Times New Roman"/>
          <w:color w:val="000000"/>
          <w:kern w:val="0"/>
          <w:sz w:val="32"/>
          <w:szCs w:val="32"/>
          <w:lang w:val="en-US" w:eastAsia="zh-CN"/>
        </w:rPr>
        <w:t>2021</w:t>
      </w:r>
      <w:r>
        <w:rPr>
          <w:rFonts w:hint="eastAsia" w:ascii="方正仿宋_GBK" w:hAnsi="方正仿宋_GBK" w:eastAsia="方正仿宋_GBK" w:cs="方正仿宋_GBK"/>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rPr>
        <w:t>1</w:t>
      </w:r>
      <w:r>
        <w:rPr>
          <w:rFonts w:hint="eastAsia" w:ascii="方正仿宋_GBK" w:hAnsi="方正仿宋_GBK" w:eastAsia="方正仿宋_GBK" w:cs="方正仿宋_GBK"/>
          <w:sz w:val="32"/>
          <w:szCs w:val="32"/>
          <w:lang w:val="en-US" w:eastAsia="zh-CN" w:bidi="ar"/>
        </w:rPr>
        <w:t>月</w:t>
      </w:r>
      <w:r>
        <w:rPr>
          <w:rFonts w:hint="eastAsia" w:ascii="Times New Roman" w:hAnsi="Times New Roman" w:eastAsia="方正仿宋_GBK" w:cs="Times New Roman"/>
          <w:color w:val="000000"/>
          <w:kern w:val="0"/>
          <w:sz w:val="32"/>
          <w:szCs w:val="32"/>
          <w:lang w:val="en-US" w:eastAsia="zh-CN"/>
        </w:rPr>
        <w:t>28</w:t>
      </w:r>
      <w:r>
        <w:rPr>
          <w:rFonts w:hint="eastAsia" w:ascii="方正仿宋_GBK" w:hAnsi="方正仿宋_GBK" w:eastAsia="方正仿宋_GBK" w:cs="方正仿宋_GBK"/>
          <w:sz w:val="32"/>
          <w:szCs w:val="32"/>
          <w:lang w:val="en-US" w:eastAsia="zh-CN" w:bidi="ar"/>
        </w:rPr>
        <w:t xml:space="preserve">日   </w:t>
      </w:r>
      <w:bookmarkStart w:id="0" w:name="_GoBack"/>
      <w:r>
        <w:rPr>
          <w:rFonts w:hint="eastAsia" w:ascii="方正仿宋_GBK" w:hAnsi="方正仿宋_GBK" w:eastAsia="方正仿宋_GBK" w:cs="方正仿宋_GBK"/>
          <w:sz w:val="32"/>
          <w:szCs w:val="32"/>
          <w:lang w:val="en-US" w:eastAsia="zh-CN" w:bidi="ar"/>
        </w:rPr>
        <w:t xml:space="preserve">  </w:t>
      </w:r>
      <w:bookmarkEnd w:id="0"/>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r>
        <w:rPr>
          <w:rFonts w:hint="default" w:ascii="方正小标宋简体" w:hAnsi="方正小标宋简体" w:eastAsia="方正小标宋简体" w:cs="方正小标宋简体"/>
          <w:kern w:val="2"/>
          <w:sz w:val="44"/>
          <w:szCs w:val="44"/>
          <w:lang w:val="en-US" w:eastAsia="zh-CN" w:bidi="ar"/>
        </w:rPr>
        <w:t>定点公立医疗机构考核指标及分值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p>
    <w:tbl>
      <w:tblPr>
        <w:tblStyle w:val="8"/>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965"/>
        <w:gridCol w:w="2066"/>
        <w:gridCol w:w="752"/>
        <w:gridCol w:w="2340"/>
        <w:gridCol w:w="2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52" w:hRule="atLeast"/>
          <w:jc w:val="center"/>
        </w:trPr>
        <w:tc>
          <w:tcPr>
            <w:tcW w:w="965" w:type="dxa"/>
            <w:tcBorders>
              <w:top w:val="single" w:color="auto" w:sz="4" w:space="0"/>
              <w:left w:val="single" w:color="auto" w:sz="4" w:space="0"/>
              <w:bottom w:val="nil"/>
              <w:right w:val="nil"/>
            </w:tcBorders>
            <w:shd w:val="clear" w:color="auto" w:fill="FFFFFF"/>
            <w:vAlign w:val="bottom"/>
          </w:tcPr>
          <w:p>
            <w:pPr>
              <w:pStyle w:val="14"/>
              <w:keepNext w:val="0"/>
              <w:keepLines w:val="0"/>
              <w:pageBreakBefore w:val="0"/>
              <w:widowControl/>
              <w:kinsoku/>
              <w:wordWrap/>
              <w:overflowPunct/>
              <w:topLinePunct w:val="0"/>
              <w:autoSpaceDE/>
              <w:autoSpaceDN/>
              <w:bidi w:val="0"/>
              <w:spacing w:line="590" w:lineRule="exact"/>
              <w:ind w:left="0" w:firstLine="0"/>
              <w:jc w:val="center"/>
              <w:textAlignment w:val="auto"/>
              <w:rPr>
                <w:rFonts w:hint="eastAsia" w:ascii="黑体" w:hAnsi="宋体" w:eastAsia="黑体" w:cs="宋体"/>
                <w:kern w:val="2"/>
                <w:sz w:val="32"/>
                <w:szCs w:val="32"/>
              </w:rPr>
            </w:pPr>
            <w:r>
              <w:rPr>
                <w:rFonts w:hint="eastAsia" w:ascii="黑体" w:hAnsi="宋体" w:eastAsia="黑体" w:cs="黑体"/>
                <w:kern w:val="2"/>
                <w:sz w:val="32"/>
                <w:szCs w:val="32"/>
              </w:rPr>
              <w:t>考核内容</w:t>
            </w:r>
          </w:p>
        </w:tc>
        <w:tc>
          <w:tcPr>
            <w:tcW w:w="2066" w:type="dxa"/>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center"/>
              <w:textAlignment w:val="auto"/>
              <w:rPr>
                <w:rFonts w:hint="eastAsia" w:ascii="黑体" w:hAnsi="宋体" w:eastAsia="黑体" w:cs="宋体"/>
                <w:kern w:val="2"/>
                <w:sz w:val="32"/>
                <w:szCs w:val="32"/>
              </w:rPr>
            </w:pPr>
            <w:r>
              <w:rPr>
                <w:rFonts w:hint="eastAsia" w:ascii="黑体" w:hAnsi="宋体" w:eastAsia="黑体" w:cs="黑体"/>
                <w:kern w:val="2"/>
                <w:sz w:val="32"/>
                <w:szCs w:val="32"/>
              </w:rPr>
              <w:t>考核指标</w:t>
            </w:r>
          </w:p>
        </w:tc>
        <w:tc>
          <w:tcPr>
            <w:tcW w:w="752" w:type="dxa"/>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center"/>
              <w:textAlignment w:val="auto"/>
              <w:rPr>
                <w:rFonts w:hint="eastAsia" w:ascii="黑体" w:hAnsi="宋体" w:eastAsia="黑体" w:cs="宋体"/>
                <w:kern w:val="2"/>
                <w:sz w:val="32"/>
                <w:szCs w:val="32"/>
              </w:rPr>
            </w:pPr>
            <w:r>
              <w:rPr>
                <w:rFonts w:hint="eastAsia" w:ascii="黑体" w:hAnsi="宋体" w:eastAsia="黑体" w:cs="黑体"/>
                <w:kern w:val="2"/>
                <w:sz w:val="32"/>
                <w:szCs w:val="32"/>
              </w:rPr>
              <w:t>分值</w:t>
            </w:r>
          </w:p>
        </w:tc>
        <w:tc>
          <w:tcPr>
            <w:tcW w:w="2340" w:type="dxa"/>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center"/>
              <w:textAlignment w:val="auto"/>
              <w:rPr>
                <w:rFonts w:hint="eastAsia" w:ascii="黑体" w:hAnsi="宋体" w:eastAsia="黑体" w:cs="宋体"/>
                <w:kern w:val="2"/>
                <w:sz w:val="32"/>
                <w:szCs w:val="32"/>
              </w:rPr>
            </w:pPr>
            <w:r>
              <w:rPr>
                <w:rFonts w:hint="eastAsia" w:ascii="黑体" w:hAnsi="宋体" w:eastAsia="黑体" w:cs="黑体"/>
                <w:kern w:val="2"/>
                <w:sz w:val="32"/>
                <w:szCs w:val="32"/>
              </w:rPr>
              <w:t>计算公式</w:t>
            </w:r>
          </w:p>
        </w:tc>
        <w:tc>
          <w:tcPr>
            <w:tcW w:w="2674" w:type="dxa"/>
            <w:tcBorders>
              <w:top w:val="single" w:color="auto" w:sz="4" w:space="0"/>
              <w:left w:val="single" w:color="auto" w:sz="4" w:space="0"/>
              <w:bottom w:val="nil"/>
              <w:right w:val="single" w:color="auto" w:sz="4" w:space="0"/>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center"/>
              <w:textAlignment w:val="auto"/>
              <w:rPr>
                <w:rFonts w:hint="eastAsia" w:ascii="黑体" w:hAnsi="宋体" w:eastAsia="黑体" w:cs="宋体"/>
                <w:kern w:val="2"/>
                <w:sz w:val="32"/>
                <w:szCs w:val="32"/>
              </w:rPr>
            </w:pPr>
            <w:r>
              <w:rPr>
                <w:rFonts w:hint="eastAsia" w:ascii="黑体" w:hAnsi="宋体" w:eastAsia="黑体" w:cs="黑体"/>
                <w:kern w:val="2"/>
                <w:sz w:val="32"/>
                <w:szCs w:val="32"/>
              </w:rPr>
              <w:t>考核要求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06" w:hRule="atLeast"/>
          <w:jc w:val="center"/>
        </w:trPr>
        <w:tc>
          <w:tcPr>
            <w:tcW w:w="965" w:type="dxa"/>
            <w:vMerge w:val="restart"/>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执行药品集釆规定</w:t>
            </w:r>
          </w:p>
        </w:tc>
        <w:tc>
          <w:tcPr>
            <w:tcW w:w="2066" w:type="dxa"/>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是否按时完成国家组织集中釆购；中选药品的约定釆购量</w:t>
            </w:r>
          </w:p>
        </w:tc>
        <w:tc>
          <w:tcPr>
            <w:tcW w:w="752" w:type="dxa"/>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20分</w:t>
            </w:r>
          </w:p>
        </w:tc>
        <w:tc>
          <w:tcPr>
            <w:tcW w:w="2340" w:type="dxa"/>
            <w:tcBorders>
              <w:top w:val="single" w:color="auto" w:sz="4" w:space="0"/>
              <w:left w:val="single" w:color="auto" w:sz="4" w:space="0"/>
              <w:bottom w:val="nil"/>
              <w:right w:val="nil"/>
            </w:tcBorders>
            <w:shd w:val="clear" w:color="auto" w:fill="FFFFFF"/>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p>
        </w:tc>
        <w:tc>
          <w:tcPr>
            <w:tcW w:w="2674" w:type="dxa"/>
            <w:tcBorders>
              <w:top w:val="single" w:color="auto" w:sz="4" w:space="0"/>
              <w:left w:val="single" w:color="auto" w:sz="4" w:space="0"/>
              <w:bottom w:val="nil"/>
              <w:right w:val="single" w:color="auto" w:sz="4" w:space="0"/>
            </w:tcBorders>
            <w:shd w:val="clear" w:color="auto" w:fill="FFFFFF"/>
            <w:vAlign w:val="top"/>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未按时完成约定采购量则不予支付集釆药品医保结余留用资金。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7" w:hRule="atLeast"/>
          <w:jc w:val="center"/>
        </w:trPr>
        <w:tc>
          <w:tcPr>
            <w:tcW w:w="965" w:type="dxa"/>
            <w:vMerge w:val="continue"/>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p>
        </w:tc>
        <w:tc>
          <w:tcPr>
            <w:tcW w:w="2066"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医疗机构30天回款率</w:t>
            </w:r>
          </w:p>
        </w:tc>
        <w:tc>
          <w:tcPr>
            <w:tcW w:w="752"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15分</w:t>
            </w:r>
          </w:p>
        </w:tc>
        <w:tc>
          <w:tcPr>
            <w:tcW w:w="2340"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30天回款金额/采购金额</w:t>
            </w:r>
          </w:p>
        </w:tc>
        <w:tc>
          <w:tcPr>
            <w:tcW w:w="2674" w:type="dxa"/>
            <w:tcBorders>
              <w:top w:val="single" w:color="auto" w:sz="4" w:space="0"/>
              <w:left w:val="single" w:color="auto" w:sz="4" w:space="0"/>
              <w:bottom w:val="nil"/>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按照协议约定回款期限考核，超过回款期限一次扣3 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408" w:hRule="atLeast"/>
          <w:jc w:val="center"/>
        </w:trPr>
        <w:tc>
          <w:tcPr>
            <w:tcW w:w="965" w:type="dxa"/>
            <w:vMerge w:val="restart"/>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合理控制药品费用</w:t>
            </w:r>
          </w:p>
        </w:tc>
        <w:tc>
          <w:tcPr>
            <w:tcW w:w="2066" w:type="dxa"/>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定点医疗机构药品费用增长率</w:t>
            </w:r>
          </w:p>
        </w:tc>
        <w:tc>
          <w:tcPr>
            <w:tcW w:w="752" w:type="dxa"/>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15分</w:t>
            </w:r>
          </w:p>
        </w:tc>
        <w:tc>
          <w:tcPr>
            <w:tcW w:w="2340" w:type="dxa"/>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本年度药品支出额/上一年度药品支出额</w:t>
            </w:r>
          </w:p>
        </w:tc>
        <w:tc>
          <w:tcPr>
            <w:tcW w:w="2674" w:type="dxa"/>
            <w:tcBorders>
              <w:top w:val="single" w:color="auto" w:sz="4" w:space="0"/>
              <w:left w:val="single" w:color="auto" w:sz="4" w:space="0"/>
              <w:bottom w:val="nil"/>
              <w:right w:val="single" w:color="auto" w:sz="4" w:space="0"/>
            </w:tcBorders>
            <w:shd w:val="clear" w:color="auto" w:fill="FFFFFF"/>
            <w:vAlign w:val="top"/>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合理控制医疗机构药费总额的增长，增长率10%及以内的不扣分；&gt;10%的每增加1个百分点， 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03" w:hRule="atLeast"/>
          <w:jc w:val="center"/>
        </w:trPr>
        <w:tc>
          <w:tcPr>
            <w:tcW w:w="965" w:type="dxa"/>
            <w:vMerge w:val="continue"/>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p>
        </w:tc>
        <w:tc>
          <w:tcPr>
            <w:tcW w:w="2066"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非中选产品釆购量占比</w:t>
            </w:r>
          </w:p>
        </w:tc>
        <w:tc>
          <w:tcPr>
            <w:tcW w:w="752"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10分</w:t>
            </w:r>
          </w:p>
        </w:tc>
        <w:tc>
          <w:tcPr>
            <w:tcW w:w="2340"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非中选产品釆购量/该通用名中选药品釆购量</w:t>
            </w:r>
          </w:p>
        </w:tc>
        <w:tc>
          <w:tcPr>
            <w:tcW w:w="2674" w:type="dxa"/>
            <w:tcBorders>
              <w:top w:val="single" w:color="auto" w:sz="4" w:space="0"/>
              <w:left w:val="single" w:color="auto" w:sz="4" w:space="0"/>
              <w:bottom w:val="nil"/>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控制非中选产品的适度使用，非中选产品釆购量50%及以内的，不扣分；＞50% 的，每增加1个百分点，扣 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45" w:hRule="atLeast"/>
          <w:jc w:val="center"/>
        </w:trPr>
        <w:tc>
          <w:tcPr>
            <w:tcW w:w="965" w:type="dxa"/>
            <w:vMerge w:val="restart"/>
            <w:tcBorders>
              <w:top w:val="nil"/>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落实集 采、价格 等改革 政策</w:t>
            </w:r>
          </w:p>
        </w:tc>
        <w:tc>
          <w:tcPr>
            <w:tcW w:w="2066" w:type="dxa"/>
            <w:tcBorders>
              <w:top w:val="single" w:color="auto" w:sz="4" w:space="0"/>
              <w:left w:val="nil"/>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线下釆购情况</w:t>
            </w:r>
          </w:p>
        </w:tc>
        <w:tc>
          <w:tcPr>
            <w:tcW w:w="752" w:type="dxa"/>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20分</w:t>
            </w:r>
          </w:p>
        </w:tc>
        <w:tc>
          <w:tcPr>
            <w:tcW w:w="2340" w:type="dxa"/>
            <w:tcBorders>
              <w:top w:val="single" w:color="auto" w:sz="4" w:space="0"/>
              <w:left w:val="single" w:color="auto" w:sz="4" w:space="0"/>
              <w:bottom w:val="nil"/>
              <w:right w:val="nil"/>
            </w:tcBorders>
            <w:shd w:val="clear" w:color="auto" w:fill="FFFFFF"/>
            <w:vAlign w:val="center"/>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p>
        </w:tc>
        <w:tc>
          <w:tcPr>
            <w:tcW w:w="2674" w:type="dxa"/>
            <w:tcBorders>
              <w:top w:val="single" w:color="auto" w:sz="4" w:space="0"/>
              <w:left w:val="single" w:color="auto" w:sz="4" w:space="0"/>
              <w:bottom w:val="nil"/>
              <w:right w:val="single" w:color="auto" w:sz="4" w:space="0"/>
            </w:tcBorders>
            <w:shd w:val="clear" w:color="auto" w:fill="FFFFFF"/>
            <w:vAlign w:val="top"/>
          </w:tcPr>
          <w:p>
            <w:pPr>
              <w:pStyle w:val="14"/>
              <w:keepNext w:val="0"/>
              <w:keepLines w:val="0"/>
              <w:pageBreakBefore w:val="0"/>
              <w:widowControl/>
              <w:kinsoku/>
              <w:wordWrap/>
              <w:overflowPunct/>
              <w:topLinePunct w:val="0"/>
              <w:autoSpaceDE/>
              <w:autoSpaceDN/>
              <w:bidi w:val="0"/>
              <w:spacing w:line="590" w:lineRule="exact"/>
              <w:ind w:left="0" w:firstLine="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按要求规范线上釆购、阳光采购，严禁网下交易采购。有网下交易记录的不得分。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53" w:hRule="atLeast"/>
          <w:jc w:val="center"/>
        </w:trPr>
        <w:tc>
          <w:tcPr>
            <w:tcW w:w="965"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p>
        </w:tc>
        <w:tc>
          <w:tcPr>
            <w:tcW w:w="2066" w:type="dxa"/>
            <w:tcBorders>
              <w:top w:val="single" w:color="auto" w:sz="4" w:space="0"/>
              <w:left w:val="nil"/>
              <w:bottom w:val="nil"/>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执行集釆政策（如报 量、采购、签约等） 的违规次数</w:t>
            </w:r>
          </w:p>
        </w:tc>
        <w:tc>
          <w:tcPr>
            <w:tcW w:w="752"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10分</w:t>
            </w:r>
          </w:p>
        </w:tc>
        <w:tc>
          <w:tcPr>
            <w:tcW w:w="2340" w:type="dxa"/>
            <w:tcBorders>
              <w:top w:val="single" w:color="auto" w:sz="4" w:space="0"/>
              <w:left w:val="single" w:color="auto" w:sz="4" w:space="0"/>
              <w:bottom w:val="nil"/>
              <w:right w:val="nil"/>
            </w:tcBorders>
            <w:shd w:val="clear" w:color="auto" w:fill="FFFFFF"/>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p>
        </w:tc>
        <w:tc>
          <w:tcPr>
            <w:tcW w:w="2674" w:type="dxa"/>
            <w:tcBorders>
              <w:top w:val="single" w:color="auto" w:sz="4" w:space="0"/>
              <w:left w:val="single" w:color="auto" w:sz="4" w:space="0"/>
              <w:bottom w:val="nil"/>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未如实报量一次扣2分；未规范签约一次扣2分，存在不配合集釆工作的，发现一起扣2分，扣完为止。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83" w:hRule="atLeast"/>
          <w:jc w:val="center"/>
        </w:trPr>
        <w:tc>
          <w:tcPr>
            <w:tcW w:w="965"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p>
        </w:tc>
        <w:tc>
          <w:tcPr>
            <w:tcW w:w="2066" w:type="dxa"/>
            <w:tcBorders>
              <w:top w:val="single" w:color="auto" w:sz="4" w:space="0"/>
              <w:left w:val="nil"/>
              <w:bottom w:val="single" w:color="auto" w:sz="4" w:space="0"/>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价格违规次数</w:t>
            </w:r>
          </w:p>
        </w:tc>
        <w:tc>
          <w:tcPr>
            <w:tcW w:w="752"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5分</w:t>
            </w:r>
          </w:p>
        </w:tc>
        <w:tc>
          <w:tcPr>
            <w:tcW w:w="2340" w:type="dxa"/>
            <w:tcBorders>
              <w:top w:val="single" w:color="auto" w:sz="4" w:space="0"/>
              <w:left w:val="single" w:color="auto" w:sz="4" w:space="0"/>
              <w:bottom w:val="single" w:color="auto" w:sz="4" w:space="0"/>
              <w:right w:val="nil"/>
            </w:tcBorders>
            <w:shd w:val="clear" w:color="auto" w:fill="FFFFFF"/>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p>
        </w:tc>
        <w:tc>
          <w:tcPr>
            <w:tcW w:w="2674" w:type="dxa"/>
            <w:tcBorders>
              <w:top w:val="single" w:color="auto" w:sz="4" w:space="0"/>
              <w:left w:val="single" w:color="auto" w:sz="4" w:space="0"/>
              <w:bottom w:val="nil"/>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严格执行医保政策，按实际服务数量收费，公开透明，医保部门处罚一次扣1分。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90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集釆中选药品的规范流转</w:t>
            </w:r>
          </w:p>
        </w:tc>
        <w:tc>
          <w:tcPr>
            <w:tcW w:w="752"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5分</w:t>
            </w:r>
          </w:p>
        </w:tc>
        <w:tc>
          <w:tcPr>
            <w:tcW w:w="2340" w:type="dxa"/>
            <w:tcBorders>
              <w:top w:val="single" w:color="auto" w:sz="4" w:space="0"/>
              <w:left w:val="nil"/>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p>
        </w:tc>
        <w:tc>
          <w:tcPr>
            <w:tcW w:w="2674" w:type="dxa"/>
            <w:tcBorders>
              <w:top w:val="single" w:color="auto" w:sz="4" w:space="0"/>
              <w:left w:val="nil"/>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医疗机构不得串换或转卖集釆中选药品，如有违规发现一起该项不得分。</w:t>
            </w:r>
          </w:p>
        </w:tc>
      </w:tr>
    </w:tbl>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楷体_GB2312" w:hAnsi="楷体_GB2312" w:eastAsia="楷体_GB2312" w:cs="楷体_GB2312"/>
          <w:color w:val="000000"/>
          <w:sz w:val="18"/>
          <w:szCs w:val="18"/>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ascii="楷体_GB2312" w:hAnsi="楷体_GB2312" w:eastAsia="楷体_GB2312" w:cs="楷体_GB2312"/>
          <w:color w:val="00000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ZGZkMWI1MDczOGRlMWZlMTA5YWFkZjMzMDhkOTYifQ=="/>
  </w:docVars>
  <w:rsids>
    <w:rsidRoot w:val="00172A27"/>
    <w:rsid w:val="000B75E5"/>
    <w:rsid w:val="00103799"/>
    <w:rsid w:val="00172A27"/>
    <w:rsid w:val="00197EF1"/>
    <w:rsid w:val="001D5673"/>
    <w:rsid w:val="0032660F"/>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1078C7"/>
    <w:rsid w:val="019E71BD"/>
    <w:rsid w:val="032B6C3A"/>
    <w:rsid w:val="033E332C"/>
    <w:rsid w:val="04B679C3"/>
    <w:rsid w:val="052B2C5E"/>
    <w:rsid w:val="05900B27"/>
    <w:rsid w:val="0645738C"/>
    <w:rsid w:val="07D34838"/>
    <w:rsid w:val="080F63D8"/>
    <w:rsid w:val="087A5962"/>
    <w:rsid w:val="09341458"/>
    <w:rsid w:val="0B0912D7"/>
    <w:rsid w:val="0DCD726B"/>
    <w:rsid w:val="0EE3051E"/>
    <w:rsid w:val="104A7615"/>
    <w:rsid w:val="1277193D"/>
    <w:rsid w:val="138959E3"/>
    <w:rsid w:val="152D2DCA"/>
    <w:rsid w:val="153913E2"/>
    <w:rsid w:val="17DB6A12"/>
    <w:rsid w:val="1C9857AE"/>
    <w:rsid w:val="1D582A22"/>
    <w:rsid w:val="1DD97D69"/>
    <w:rsid w:val="1DEC284C"/>
    <w:rsid w:val="1E6523AC"/>
    <w:rsid w:val="1FFA7124"/>
    <w:rsid w:val="22440422"/>
    <w:rsid w:val="245C67FB"/>
    <w:rsid w:val="26D1527F"/>
    <w:rsid w:val="2A5C1C3C"/>
    <w:rsid w:val="2E9C2BDF"/>
    <w:rsid w:val="2F113003"/>
    <w:rsid w:val="31A15F24"/>
    <w:rsid w:val="31B72082"/>
    <w:rsid w:val="343F0891"/>
    <w:rsid w:val="395347B5"/>
    <w:rsid w:val="398E534A"/>
    <w:rsid w:val="39A232A0"/>
    <w:rsid w:val="39E745AA"/>
    <w:rsid w:val="3B5A6BBB"/>
    <w:rsid w:val="3EDA13A6"/>
    <w:rsid w:val="3FC82FE6"/>
    <w:rsid w:val="3FF21DD0"/>
    <w:rsid w:val="41B26AD1"/>
    <w:rsid w:val="42F058B7"/>
    <w:rsid w:val="436109F6"/>
    <w:rsid w:val="441A38D4"/>
    <w:rsid w:val="447A10D3"/>
    <w:rsid w:val="494553A6"/>
    <w:rsid w:val="4A5162EE"/>
    <w:rsid w:val="4B0A0B56"/>
    <w:rsid w:val="4BC77339"/>
    <w:rsid w:val="4C9236C5"/>
    <w:rsid w:val="4D7F0CE1"/>
    <w:rsid w:val="4EF65AD6"/>
    <w:rsid w:val="4FF97471"/>
    <w:rsid w:val="505C172E"/>
    <w:rsid w:val="50E023DF"/>
    <w:rsid w:val="52C74409"/>
    <w:rsid w:val="52F46F0B"/>
    <w:rsid w:val="53D8014D"/>
    <w:rsid w:val="5550603F"/>
    <w:rsid w:val="558621A4"/>
    <w:rsid w:val="55A56411"/>
    <w:rsid w:val="55E064E0"/>
    <w:rsid w:val="5660369E"/>
    <w:rsid w:val="572C6D10"/>
    <w:rsid w:val="5A295176"/>
    <w:rsid w:val="5A557999"/>
    <w:rsid w:val="5A865B01"/>
    <w:rsid w:val="5BE74621"/>
    <w:rsid w:val="5DC34279"/>
    <w:rsid w:val="5E6006BB"/>
    <w:rsid w:val="608816D1"/>
    <w:rsid w:val="60EF4E7F"/>
    <w:rsid w:val="63161C90"/>
    <w:rsid w:val="63194632"/>
    <w:rsid w:val="632B726B"/>
    <w:rsid w:val="665233C1"/>
    <w:rsid w:val="67750F81"/>
    <w:rsid w:val="6AD45862"/>
    <w:rsid w:val="6AD9688B"/>
    <w:rsid w:val="6AEE1AB5"/>
    <w:rsid w:val="6C681542"/>
    <w:rsid w:val="6CA17F77"/>
    <w:rsid w:val="6D0E3F22"/>
    <w:rsid w:val="6F2B6B62"/>
    <w:rsid w:val="6FBC5506"/>
    <w:rsid w:val="722A4E10"/>
    <w:rsid w:val="737C3597"/>
    <w:rsid w:val="73826795"/>
    <w:rsid w:val="74F1485B"/>
    <w:rsid w:val="7BC462D5"/>
    <w:rsid w:val="7C9011D9"/>
    <w:rsid w:val="7DA140E9"/>
    <w:rsid w:val="7DC651C5"/>
    <w:rsid w:val="7FCC2834"/>
    <w:rsid w:val="B8DEB6B5"/>
    <w:rsid w:val="C7B5F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unhideWhenUsed/>
    <w:qFormat/>
    <w:uiPriority w:val="99"/>
    <w:pPr>
      <w:spacing w:after="120" w:line="480" w:lineRule="auto"/>
    </w:pPr>
    <w:rPr>
      <w:rFonts w:ascii="Calibri" w:hAnsi="Calibri"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annotation reference"/>
    <w:basedOn w:val="9"/>
    <w:qFormat/>
    <w:uiPriority w:val="0"/>
    <w:rPr>
      <w:sz w:val="21"/>
      <w:szCs w:val="21"/>
    </w:rPr>
  </w:style>
  <w:style w:type="character" w:customStyle="1" w:styleId="11">
    <w:name w:val="纯文本 字符"/>
    <w:basedOn w:val="9"/>
    <w:link w:val="3"/>
    <w:qFormat/>
    <w:uiPriority w:val="0"/>
    <w:rPr>
      <w:rFonts w:ascii="宋体" w:hAnsi="Courier New" w:eastAsia="仿宋_GB2312" w:cs="Courier New"/>
      <w:kern w:val="2"/>
      <w:sz w:val="32"/>
      <w:szCs w:val="21"/>
    </w:rPr>
  </w:style>
  <w:style w:type="paragraph" w:customStyle="1" w:styleId="12">
    <w:name w:val="_Style 9"/>
    <w:basedOn w:val="1"/>
    <w:next w:val="13"/>
    <w:qFormat/>
    <w:uiPriority w:val="99"/>
    <w:pPr>
      <w:ind w:firstLine="420" w:firstLineChars="200"/>
    </w:pPr>
    <w:rPr>
      <w:rFonts w:ascii="Times New Roman" w:hAnsi="Times New Roman" w:eastAsia="宋体" w:cs="Times New Roman"/>
      <w:szCs w:val="21"/>
    </w:rPr>
  </w:style>
  <w:style w:type="paragraph" w:styleId="13">
    <w:name w:val="List Paragraph"/>
    <w:basedOn w:val="1"/>
    <w:qFormat/>
    <w:uiPriority w:val="99"/>
    <w:pPr>
      <w:ind w:firstLine="420" w:firstLineChars="200"/>
    </w:pPr>
  </w:style>
  <w:style w:type="paragraph" w:customStyle="1" w:styleId="14">
    <w:name w:val="Other|1"/>
    <w:basedOn w:val="1"/>
    <w:qFormat/>
    <w:uiPriority w:val="0"/>
    <w:pPr>
      <w:keepNext w:val="0"/>
      <w:keepLines w:val="0"/>
      <w:widowControl w:val="0"/>
      <w:suppressLineNumbers w:val="0"/>
      <w:spacing w:before="0" w:beforeAutospacing="0" w:after="0" w:afterAutospacing="0" w:line="436" w:lineRule="auto"/>
      <w:ind w:left="0" w:right="0" w:firstLine="400"/>
      <w:jc w:val="both"/>
    </w:pPr>
    <w:rPr>
      <w:rFonts w:hint="eastAsia" w:ascii="宋体" w:hAnsi="宋体" w:eastAsia="宋体" w:cs="宋体"/>
      <w:kern w:val="2"/>
      <w:sz w:val="30"/>
      <w:szCs w:val="3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2489</Words>
  <Characters>2531</Characters>
  <Lines>1</Lines>
  <Paragraphs>1</Paragraphs>
  <TotalTime>19</TotalTime>
  <ScaleCrop>false</ScaleCrop>
  <LinksUpToDate>false</LinksUpToDate>
  <CharactersWithSpaces>2563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2021-12-04T23:33:00Z</dcterms:created>
  <dc:creator>t</dc:creator>
  <cp:lastModifiedBy>thtf</cp:lastModifiedBy>
  <cp:lastPrinted>2021-10-26T19:30:00Z</cp:lastPrinted>
  <dcterms:modified xsi:type="dcterms:W3CDTF">2022-11-17T14:43:58Z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