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020F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eastAsia="zh-CN"/>
        </w:rPr>
        <w:t>芜湖市基本医疗保险门诊慢特病</w:t>
      </w:r>
    </w:p>
    <w:p w14:paraId="429C082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eastAsia="zh-CN"/>
        </w:rPr>
        <w:t>管理实施细则</w:t>
      </w:r>
      <w:r>
        <w:rPr>
          <w:rFonts w:hint="eastAsia" w:ascii="方正小标宋_GBK" w:hAnsi="方正小标宋_GBK" w:eastAsia="方正小标宋_GBK" w:cs="方正小标宋_GBK"/>
          <w:b w:val="0"/>
          <w:bCs w:val="0"/>
          <w:color w:val="auto"/>
          <w:sz w:val="44"/>
          <w:szCs w:val="44"/>
          <w:lang w:val="en-US" w:eastAsia="zh-CN"/>
        </w:rPr>
        <w:t>（征求意见稿）</w:t>
      </w:r>
    </w:p>
    <w:p w14:paraId="4EC0663A">
      <w:pPr>
        <w:keepNext w:val="0"/>
        <w:keepLines w:val="0"/>
        <w:pageBreakBefore w:val="0"/>
        <w:numPr>
          <w:ilvl w:val="0"/>
          <w:numId w:val="2"/>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32"/>
          <w:szCs w:val="32"/>
          <w:lang w:val="en-US" w:eastAsia="zh-CN"/>
        </w:rPr>
      </w:pPr>
      <w:r>
        <w:rPr>
          <w:rFonts w:hint="eastAsia" w:ascii="方正小标宋_GBK" w:hAnsi="方正小标宋_GBK" w:eastAsia="方正小标宋_GBK" w:cs="方正小标宋_GBK"/>
          <w:b/>
          <w:bCs/>
          <w:color w:val="auto"/>
          <w:sz w:val="32"/>
          <w:szCs w:val="32"/>
          <w:lang w:val="en-US" w:eastAsia="zh-CN"/>
        </w:rPr>
        <w:t>总则</w:t>
      </w:r>
    </w:p>
    <w:p w14:paraId="2A65ECA5">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第一条</w:t>
      </w:r>
      <w:r>
        <w:rPr>
          <w:rFonts w:hint="eastAsia" w:ascii="方正仿宋_GBK" w:hAnsi="方正仿宋_GBK" w:eastAsia="方正仿宋_GBK" w:cs="方正仿宋_GBK"/>
          <w:color w:val="auto"/>
          <w:kern w:val="0"/>
          <w:sz w:val="32"/>
          <w:szCs w:val="32"/>
          <w:lang w:val="en-US" w:eastAsia="zh-CN"/>
        </w:rPr>
        <w:t xml:space="preserve">  为</w:t>
      </w:r>
      <w:r>
        <w:rPr>
          <w:rFonts w:hint="eastAsia" w:ascii="仿宋_GB2312" w:hAnsi="仿宋_GB2312" w:eastAsia="仿宋_GB2312" w:cs="仿宋_GB2312"/>
          <w:bCs/>
          <w:color w:val="auto"/>
          <w:sz w:val="32"/>
          <w:szCs w:val="32"/>
          <w:lang w:val="en-US" w:eastAsia="zh-CN"/>
        </w:rPr>
        <w:t>进一步优化我市基本医疗保险门诊慢特病管理，建立规范、高</w:t>
      </w:r>
      <w:r>
        <w:rPr>
          <w:rFonts w:hint="eastAsia" w:ascii="方正仿宋_GBK" w:hAnsi="方正仿宋_GBK" w:eastAsia="方正仿宋_GBK" w:cs="方正仿宋_GBK"/>
          <w:color w:val="auto"/>
          <w:kern w:val="0"/>
          <w:sz w:val="32"/>
          <w:szCs w:val="32"/>
          <w:lang w:val="en-US" w:eastAsia="zh-CN"/>
        </w:rPr>
        <w:t>效、统一的门诊慢特病待遇保障、基金支付、监督管理运行机制，根据《安徽省基本医疗保险门诊慢性病、特殊病管理办法（试行）》（皖医保秘〔2020〕132 号）《安徽省医疗保障局关于印发</w:t>
      </w:r>
      <w:r>
        <w:rPr>
          <w:rFonts w:hint="default" w:ascii="方正仿宋_GBK" w:hAnsi="方正仿宋_GBK" w:eastAsia="方正仿宋_GBK" w:cs="方正仿宋_GBK"/>
          <w:color w:val="auto"/>
          <w:kern w:val="0"/>
          <w:sz w:val="32"/>
          <w:szCs w:val="32"/>
          <w:lang w:val="en" w:eastAsia="zh-CN"/>
        </w:rPr>
        <w:t>&lt;</w:t>
      </w:r>
      <w:r>
        <w:rPr>
          <w:rFonts w:hint="eastAsia" w:ascii="方正仿宋_GBK" w:hAnsi="方正仿宋_GBK" w:eastAsia="方正仿宋_GBK" w:cs="方正仿宋_GBK"/>
          <w:color w:val="auto"/>
          <w:kern w:val="0"/>
          <w:sz w:val="32"/>
          <w:szCs w:val="32"/>
          <w:lang w:val="en-US" w:eastAsia="zh-CN"/>
        </w:rPr>
        <w:t>安徽省基本医疗保险门诊慢特病病种目录（试行）</w:t>
      </w:r>
      <w:r>
        <w:rPr>
          <w:rFonts w:hint="default" w:ascii="方正仿宋_GBK" w:hAnsi="方正仿宋_GBK" w:eastAsia="方正仿宋_GBK" w:cs="方正仿宋_GBK"/>
          <w:color w:val="auto"/>
          <w:kern w:val="0"/>
          <w:sz w:val="32"/>
          <w:szCs w:val="32"/>
          <w:lang w:val="en" w:eastAsia="zh-CN"/>
        </w:rPr>
        <w:t>&gt;</w:t>
      </w:r>
      <w:r>
        <w:rPr>
          <w:rFonts w:hint="eastAsia" w:ascii="方正仿宋_GBK" w:hAnsi="方正仿宋_GBK" w:eastAsia="方正仿宋_GBK" w:cs="方正仿宋_GBK"/>
          <w:color w:val="auto"/>
          <w:kern w:val="0"/>
          <w:sz w:val="32"/>
          <w:szCs w:val="32"/>
          <w:lang w:val="en-US" w:eastAsia="zh-CN"/>
        </w:rPr>
        <w:t>的通知》（皖医保秘〔2021〕36号）等文件要求，结合我市实际，制定本实施细则。</w:t>
      </w:r>
    </w:p>
    <w:p w14:paraId="28123CCD">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 xml:space="preserve">第二条 </w:t>
      </w:r>
      <w:r>
        <w:rPr>
          <w:rFonts w:hint="eastAsia" w:ascii="方正仿宋_GBK" w:hAnsi="方正仿宋_GBK" w:eastAsia="方正仿宋_GBK" w:cs="方正仿宋_GBK"/>
          <w:color w:val="auto"/>
          <w:kern w:val="0"/>
          <w:sz w:val="32"/>
          <w:szCs w:val="32"/>
          <w:lang w:val="en-US" w:eastAsia="zh-CN"/>
        </w:rPr>
        <w:t xml:space="preserve"> 本细则适用于本统筹区基本医疗保险参保人员的门诊慢特病管理和待遇支付等。</w:t>
      </w:r>
    </w:p>
    <w:p w14:paraId="73B030C5">
      <w:pPr>
        <w:keepNext w:val="0"/>
        <w:keepLines w:val="0"/>
        <w:pageBreakBefore w:val="0"/>
        <w:numPr>
          <w:ilvl w:val="0"/>
          <w:numId w:val="2"/>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32"/>
          <w:szCs w:val="32"/>
          <w:lang w:val="en-US" w:eastAsia="zh-CN"/>
        </w:rPr>
      </w:pPr>
      <w:r>
        <w:rPr>
          <w:rFonts w:hint="eastAsia" w:ascii="方正小标宋_GBK" w:hAnsi="方正小标宋_GBK" w:eastAsia="方正小标宋_GBK" w:cs="方正小标宋_GBK"/>
          <w:b/>
          <w:bCs/>
          <w:color w:val="auto"/>
          <w:sz w:val="32"/>
          <w:szCs w:val="32"/>
          <w:lang w:val="en-US" w:eastAsia="zh-CN"/>
        </w:rPr>
        <w:t xml:space="preserve"> 门诊慢特病病种</w:t>
      </w:r>
    </w:p>
    <w:p w14:paraId="763C4653">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第三条</w:t>
      </w:r>
      <w:r>
        <w:rPr>
          <w:rFonts w:hint="eastAsia" w:ascii="方正仿宋_GBK" w:hAnsi="方正仿宋_GBK" w:eastAsia="方正仿宋_GBK" w:cs="方正仿宋_GBK"/>
          <w:color w:val="auto"/>
          <w:kern w:val="0"/>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执行全省统一的门诊慢特病病种。根据病种性质、治疗费用等，结合基金收支情况及临床专家意见，门诊慢特病病种分为普通慢性病和特殊慢性病。</w:t>
      </w:r>
    </w:p>
    <w:p w14:paraId="7C35498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（一）普通慢性病：1.高血压 2.冠心病 3.心功能不全 4.慢性阻塞性肺疾病 5.支气管哮喘 6.溃疡性结肠炎 7.晚期血吸虫病 8.自身免疫性肝病 9.慢性肾脏病 10.肾病综合征 11.糖尿病 12.甲状腺功能亢进症 13.甲状腺功能减退症 14.脑卒中 15.癫痫 16.帕金森综合症 17.阿尔茨海默病（老年痴呆） 18.重症肌无力 19.肌萎缩侧索硬化症 20.青光眼 21.黄斑性眼病 22.银屑病（非生物制剂治疗）、银屑病（生物制剂治疗） 23.白癜风 24.慢性乙型肝炎 25.慢性丙型肝炎（非1B型）、慢性丙型肝炎（1B型） 26.非耐药性结核病 27.艾滋病 28.类风湿性关节炎 29.强直性脊柱炎 30.白塞氏病 31.系统性硬化症 32.干燥综合征 33.多发性肌炎 34.皮肌炎 35.结节性多动脉炎 36.脑瘫 37.肝硬化 38.精神障碍 39.ANCA相关血管炎 40.心脏瓣膜置换术后 41.血管支架植入术后 42.心脏冠脉搭桥术后 43.进行性肌营养不良症 44.严重性春季角结膜炎 45.慢性荨麻疹（普通型）、慢性荨麻疹（难治型） 46.阵发性睡眠性血红蛋白尿 47.非典型溶血性尿毒症 48.发作性睡病 49.低磷性佝偻病 50.短肠综合征</w:t>
      </w:r>
    </w:p>
    <w:p w14:paraId="1648644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方正仿宋_GBK" w:hAnsi="方正仿宋_GBK" w:eastAsia="方正仿宋_GBK" w:cs="方正仿宋_GBK"/>
          <w:color w:val="auto"/>
          <w:kern w:val="0"/>
          <w:sz w:val="32"/>
          <w:szCs w:val="32"/>
          <w:lang w:val="en-US" w:eastAsia="zh-CN"/>
        </w:rPr>
        <w:t>（二）</w:t>
      </w:r>
      <w:r>
        <w:rPr>
          <w:rFonts w:hint="eastAsia" w:ascii="仿宋_GB2312" w:hAnsi="仿宋_GB2312" w:eastAsia="仿宋_GB2312" w:cs="仿宋_GB2312"/>
          <w:b w:val="0"/>
          <w:bCs w:val="0"/>
          <w:color w:val="auto"/>
          <w:sz w:val="32"/>
          <w:szCs w:val="32"/>
          <w:lang w:val="en-US" w:eastAsia="zh-CN"/>
        </w:rPr>
        <w:t xml:space="preserve">特殊慢性病：1.肺动脉高压 2.特发性肺纤维化 3.克罗恩病 4.慢性肾衰竭（尿毒症期） 5.肢端肥大症 6.肝豆状核变性 7.多发性硬化 8.重度特应性皮炎 9.耐药性结核病 10.系统性红斑狼疮 11.先天性免疫蛋白缺乏症 12.生长激素缺乏症 13.普拉德-威利综合征 14.尼曼匹克病 15.器官移植术后 16.血友病 17.特发性血小板减少性紫癜 18.再生障碍性贫血 19.骨髓增生异常综合征 20.骨髓增生性疾病 21.白血病 22.恶性肿瘤 23.法布雷病 24.甲状腺素蛋白淀粉样变性心肌病 25.亨廷顿舞蹈症 26.视神经脊髓炎 27.脊髓延髓肌萎缩症（肯尼迪病） 28.遗传性血管性水肿 29.脊髓性肌萎缩症 </w:t>
      </w:r>
      <w:r>
        <w:rPr>
          <w:rFonts w:hint="eastAsia" w:ascii="方正仿宋_GBK" w:hAnsi="方正仿宋_GBK" w:eastAsia="方正仿宋_GBK" w:cs="方正仿宋_GBK"/>
          <w:b w:val="0"/>
          <w:bCs w:val="0"/>
          <w:color w:val="auto"/>
          <w:sz w:val="32"/>
          <w:szCs w:val="32"/>
          <w:lang w:val="en-US" w:eastAsia="zh-CN"/>
        </w:rPr>
        <w:t>30.β-地中海</w:t>
      </w:r>
      <w:r>
        <w:rPr>
          <w:rFonts w:hint="eastAsia" w:ascii="仿宋_GB2312" w:hAnsi="仿宋_GB2312" w:eastAsia="仿宋_GB2312" w:cs="仿宋_GB2312"/>
          <w:b w:val="0"/>
          <w:bCs w:val="0"/>
          <w:color w:val="auto"/>
          <w:sz w:val="32"/>
          <w:szCs w:val="32"/>
          <w:lang w:val="en-US" w:eastAsia="zh-CN"/>
        </w:rPr>
        <w:t>贫血 31.戈谢病 32.结节性硬化症 33.大动脉炎 34.进行性纤维化性间质性肺疾病</w:t>
      </w:r>
    </w:p>
    <w:p w14:paraId="03D18743">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第四条</w:t>
      </w:r>
      <w:r>
        <w:rPr>
          <w:rFonts w:hint="eastAsia" w:ascii="仿宋_GB2312" w:hAnsi="仿宋_GB2312" w:eastAsia="仿宋_GB2312" w:cs="仿宋_GB2312"/>
          <w:b w:val="0"/>
          <w:bCs w:val="0"/>
          <w:color w:val="auto"/>
          <w:sz w:val="32"/>
          <w:szCs w:val="32"/>
          <w:lang w:val="en-US" w:eastAsia="zh-CN"/>
        </w:rPr>
        <w:t xml:space="preserve">  执行全省统一的门诊慢特病认定标准、病种编码。</w:t>
      </w:r>
    </w:p>
    <w:p w14:paraId="303EE6CD">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32"/>
          <w:szCs w:val="32"/>
          <w:lang w:val="en-US" w:eastAsia="zh-CN"/>
        </w:rPr>
      </w:pPr>
    </w:p>
    <w:p w14:paraId="226F3073">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小标宋_GBK" w:hAnsi="方正小标宋_GBK" w:eastAsia="方正小标宋_GBK" w:cs="方正小标宋_GBK"/>
          <w:b/>
          <w:bCs/>
          <w:color w:val="auto"/>
          <w:sz w:val="32"/>
          <w:szCs w:val="32"/>
          <w:lang w:val="en-US" w:eastAsia="zh-CN"/>
        </w:rPr>
        <w:t>第三章 门诊慢特病准入认定</w:t>
      </w:r>
    </w:p>
    <w:p w14:paraId="560B2CE9">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 xml:space="preserve">第五条  </w:t>
      </w:r>
      <w:r>
        <w:rPr>
          <w:rFonts w:hint="eastAsia" w:ascii="仿宋_GB2312" w:hAnsi="仿宋_GB2312" w:eastAsia="仿宋_GB2312" w:cs="仿宋_GB2312"/>
          <w:b w:val="0"/>
          <w:bCs w:val="0"/>
          <w:color w:val="auto"/>
          <w:sz w:val="32"/>
          <w:szCs w:val="32"/>
          <w:lang w:val="en-US" w:eastAsia="zh-CN"/>
        </w:rPr>
        <w:t>参保患者可在符合条件的定点医疗机构直接办理门诊慢特病准入认定，填报《芜湖市基本医疗保险参保人员门诊慢特病准入申请表》（附件1）。</w:t>
      </w:r>
    </w:p>
    <w:p w14:paraId="1D34C28E">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 w:hAnsi="仿宋" w:eastAsia="仿宋" w:cs="仿宋"/>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一）我市参保人员可在市域内各三级医院，芜湖市传染病医院，湾沚区总医院，无为市、南陵县、繁昌区人民医院及中医院申请门诊慢性病准入认定。</w:t>
      </w:r>
    </w:p>
    <w:p w14:paraId="0D0A938B">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（二）参保人员的普通慢性病病种，也可在市域内二级甲等医院及镜湖区、弋江区、鸠江区人民医院申请准入认定。</w:t>
      </w:r>
    </w:p>
    <w:p w14:paraId="19D9BC39">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异地安置人员可持相关资料到弋矶山医院、皖南医学院第二附属医院、芜湖市第一人民医院、芜湖市第二人民医院、芜湖市中医医院、芜湖市传染病医院、芜湖市精神病医院、安徽省皖南康复医院（芜湖市第五人民医院）、湾沚区总医院和无为市、南陵县、繁昌区人民医院及中医院申请门诊慢特病准入认定。</w:t>
      </w:r>
    </w:p>
    <w:p w14:paraId="1853E2D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 w:hAnsi="仿宋" w:eastAsia="仿宋" w:cs="仿宋"/>
          <w:b/>
          <w:bCs/>
          <w:color w:val="auto"/>
          <w:sz w:val="32"/>
          <w:szCs w:val="32"/>
          <w:lang w:eastAsia="zh-CN"/>
        </w:rPr>
        <w:t>第六条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kern w:val="0"/>
          <w:sz w:val="32"/>
          <w:szCs w:val="32"/>
        </w:rPr>
        <w:t>恶性肿瘤申报时提供病理报告的，</w:t>
      </w:r>
      <w:r>
        <w:rPr>
          <w:rFonts w:hint="eastAsia" w:ascii="仿宋_GB2312" w:hAnsi="仿宋_GB2312" w:eastAsia="仿宋_GB2312" w:cs="仿宋_GB2312"/>
          <w:color w:val="auto"/>
          <w:kern w:val="0"/>
          <w:sz w:val="32"/>
          <w:szCs w:val="32"/>
          <w:lang w:eastAsia="zh-CN"/>
        </w:rPr>
        <w:t>慢特</w:t>
      </w:r>
      <w:r>
        <w:rPr>
          <w:rFonts w:hint="eastAsia" w:ascii="仿宋_GB2312" w:hAnsi="仿宋_GB2312" w:eastAsia="仿宋_GB2312" w:cs="仿宋_GB2312"/>
          <w:color w:val="auto"/>
          <w:kern w:val="0"/>
          <w:sz w:val="32"/>
          <w:szCs w:val="32"/>
        </w:rPr>
        <w:t>病待遇起始时间为病理报告日期；</w:t>
      </w:r>
      <w:r>
        <w:rPr>
          <w:rFonts w:hint="eastAsia" w:ascii="仿宋_GB2312" w:hAnsi="仿宋_GB2312" w:eastAsia="仿宋_GB2312" w:cs="仿宋_GB2312"/>
          <w:color w:val="auto"/>
          <w:sz w:val="32"/>
          <w:szCs w:val="32"/>
          <w:lang w:val="en-US" w:eastAsia="zh-CN"/>
        </w:rPr>
        <w:t>心脏瓣膜置换术后、</w:t>
      </w:r>
      <w:r>
        <w:rPr>
          <w:rFonts w:hint="eastAsia" w:ascii="仿宋_GB2312" w:hAnsi="仿宋_GB2312" w:eastAsia="仿宋_GB2312" w:cs="仿宋_GB2312"/>
          <w:color w:val="auto"/>
          <w:kern w:val="0"/>
          <w:sz w:val="32"/>
          <w:szCs w:val="32"/>
          <w:lang w:eastAsia="zh-CN"/>
        </w:rPr>
        <w:t>血管</w:t>
      </w:r>
      <w:r>
        <w:rPr>
          <w:rFonts w:hint="eastAsia" w:ascii="仿宋_GB2312" w:hAnsi="仿宋_GB2312" w:eastAsia="仿宋_GB2312" w:cs="仿宋_GB2312"/>
          <w:color w:val="auto"/>
          <w:kern w:val="0"/>
          <w:sz w:val="32"/>
          <w:szCs w:val="32"/>
        </w:rPr>
        <w:t>支架</w:t>
      </w:r>
      <w:r>
        <w:rPr>
          <w:rFonts w:hint="eastAsia" w:ascii="仿宋_GB2312" w:hAnsi="仿宋_GB2312" w:eastAsia="仿宋_GB2312" w:cs="仿宋_GB2312"/>
          <w:color w:val="auto"/>
          <w:kern w:val="0"/>
          <w:sz w:val="32"/>
          <w:szCs w:val="32"/>
          <w:lang w:eastAsia="zh-CN"/>
        </w:rPr>
        <w:t>植入</w:t>
      </w:r>
      <w:r>
        <w:rPr>
          <w:rFonts w:hint="eastAsia" w:ascii="仿宋_GB2312" w:hAnsi="仿宋_GB2312" w:eastAsia="仿宋_GB2312" w:cs="仿宋_GB2312"/>
          <w:color w:val="auto"/>
          <w:kern w:val="0"/>
          <w:sz w:val="32"/>
          <w:szCs w:val="32"/>
        </w:rPr>
        <w:t>术后</w:t>
      </w:r>
      <w:r>
        <w:rPr>
          <w:rFonts w:hint="eastAsia" w:ascii="仿宋_GB2312" w:hAnsi="仿宋_GB2312" w:eastAsia="仿宋_GB2312" w:cs="仿宋_GB2312"/>
          <w:color w:val="auto"/>
          <w:kern w:val="0"/>
          <w:sz w:val="32"/>
          <w:szCs w:val="32"/>
          <w:lang w:eastAsia="zh-CN"/>
        </w:rPr>
        <w:t>、心脏冠脉搭桥术后、</w:t>
      </w:r>
      <w:r>
        <w:rPr>
          <w:rFonts w:hint="eastAsia" w:ascii="仿宋_GB2312" w:hAnsi="仿宋_GB2312" w:eastAsia="仿宋_GB2312" w:cs="仿宋_GB2312"/>
          <w:color w:val="auto"/>
          <w:kern w:val="0"/>
          <w:sz w:val="32"/>
          <w:szCs w:val="32"/>
        </w:rPr>
        <w:t>器官移植术后</w:t>
      </w:r>
      <w:r>
        <w:rPr>
          <w:rFonts w:hint="eastAsia" w:ascii="仿宋_GB2312" w:hAnsi="仿宋_GB2312" w:eastAsia="仿宋_GB2312" w:cs="仿宋_GB2312"/>
          <w:color w:val="auto"/>
          <w:kern w:val="0"/>
          <w:sz w:val="32"/>
          <w:szCs w:val="32"/>
          <w:lang w:eastAsia="zh-CN"/>
        </w:rPr>
        <w:t>，慢特病</w:t>
      </w:r>
      <w:r>
        <w:rPr>
          <w:rFonts w:hint="eastAsia" w:ascii="仿宋_GB2312" w:hAnsi="仿宋_GB2312" w:eastAsia="仿宋_GB2312" w:cs="仿宋_GB2312"/>
          <w:color w:val="auto"/>
          <w:kern w:val="0"/>
          <w:sz w:val="32"/>
          <w:szCs w:val="32"/>
        </w:rPr>
        <w:t>待遇起始时间为手术当次住院出院日期</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慢性肾衰竭（尿毒症期）自确诊后第一次进行透析时间开始享受</w:t>
      </w:r>
      <w:r>
        <w:rPr>
          <w:rFonts w:hint="eastAsia" w:ascii="仿宋_GB2312" w:hAnsi="仿宋_GB2312" w:eastAsia="仿宋_GB2312" w:cs="仿宋_GB2312"/>
          <w:color w:val="auto"/>
          <w:kern w:val="0"/>
          <w:sz w:val="32"/>
          <w:szCs w:val="32"/>
          <w:lang w:eastAsia="zh-CN"/>
        </w:rPr>
        <w:t>慢特</w:t>
      </w:r>
      <w:r>
        <w:rPr>
          <w:rFonts w:hint="eastAsia" w:ascii="仿宋_GB2312" w:hAnsi="仿宋_GB2312" w:eastAsia="仿宋_GB2312" w:cs="仿宋_GB2312"/>
          <w:color w:val="auto"/>
          <w:kern w:val="0"/>
          <w:sz w:val="32"/>
          <w:szCs w:val="32"/>
        </w:rPr>
        <w:t>病待遇</w:t>
      </w:r>
      <w:r>
        <w:rPr>
          <w:rFonts w:hint="eastAsia" w:ascii="仿宋_GB2312" w:hAnsi="仿宋_GB2312" w:eastAsia="仿宋_GB2312" w:cs="仿宋_GB2312"/>
          <w:color w:val="auto"/>
          <w:kern w:val="0"/>
          <w:sz w:val="32"/>
          <w:szCs w:val="32"/>
          <w:lang w:eastAsia="zh-CN"/>
        </w:rPr>
        <w:t>。其他</w:t>
      </w:r>
      <w:r>
        <w:rPr>
          <w:rFonts w:hint="eastAsia" w:ascii="仿宋_GB2312" w:hAnsi="仿宋_GB2312" w:eastAsia="仿宋_GB2312" w:cs="仿宋_GB2312"/>
          <w:color w:val="auto"/>
          <w:kern w:val="0"/>
          <w:sz w:val="32"/>
          <w:szCs w:val="32"/>
        </w:rPr>
        <w:t>被认定的门诊慢</w:t>
      </w:r>
      <w:r>
        <w:rPr>
          <w:rFonts w:hint="eastAsia" w:ascii="仿宋_GB2312" w:hAnsi="仿宋_GB2312" w:eastAsia="仿宋_GB2312" w:cs="仿宋_GB2312"/>
          <w:color w:val="auto"/>
          <w:kern w:val="0"/>
          <w:sz w:val="32"/>
          <w:szCs w:val="32"/>
          <w:lang w:eastAsia="zh-CN"/>
        </w:rPr>
        <w:t>特</w:t>
      </w:r>
      <w:r>
        <w:rPr>
          <w:rFonts w:hint="eastAsia" w:ascii="仿宋_GB2312" w:hAnsi="仿宋_GB2312" w:eastAsia="仿宋_GB2312" w:cs="仿宋_GB2312"/>
          <w:color w:val="auto"/>
          <w:kern w:val="0"/>
          <w:sz w:val="32"/>
          <w:szCs w:val="32"/>
        </w:rPr>
        <w:t>病患者，其待遇从审核认定之日</w:t>
      </w:r>
      <w:r>
        <w:rPr>
          <w:rFonts w:hint="eastAsia" w:ascii="仿宋_GB2312" w:hAnsi="仿宋_GB2312" w:eastAsia="仿宋_GB2312" w:cs="仿宋_GB2312"/>
          <w:color w:val="auto"/>
          <w:kern w:val="0"/>
          <w:sz w:val="32"/>
          <w:szCs w:val="32"/>
          <w:lang w:eastAsia="zh-CN"/>
        </w:rPr>
        <w:t>起</w:t>
      </w:r>
      <w:r>
        <w:rPr>
          <w:rFonts w:hint="eastAsia" w:ascii="仿宋_GB2312" w:hAnsi="仿宋_GB2312" w:eastAsia="仿宋_GB2312" w:cs="仿宋_GB2312"/>
          <w:color w:val="auto"/>
          <w:kern w:val="0"/>
          <w:sz w:val="32"/>
          <w:szCs w:val="32"/>
        </w:rPr>
        <w:t>开始享受。</w:t>
      </w:r>
    </w:p>
    <w:p w14:paraId="360C017C">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lang w:eastAsia="zh-CN"/>
        </w:rPr>
      </w:pPr>
      <w:r>
        <w:rPr>
          <w:rFonts w:hint="eastAsia" w:ascii="仿宋" w:hAnsi="仿宋" w:eastAsia="仿宋" w:cs="仿宋"/>
          <w:b/>
          <w:bCs/>
          <w:color w:val="auto"/>
          <w:sz w:val="32"/>
          <w:szCs w:val="32"/>
          <w:lang w:val="en-US" w:eastAsia="zh-CN"/>
        </w:rPr>
        <w:t xml:space="preserve">第七条  </w:t>
      </w:r>
      <w:r>
        <w:rPr>
          <w:rFonts w:hint="eastAsia" w:ascii="仿宋_GB2312" w:hAnsi="仿宋_GB2312" w:eastAsia="仿宋_GB2312" w:cs="仿宋_GB2312"/>
          <w:color w:val="auto"/>
          <w:kern w:val="0"/>
          <w:sz w:val="32"/>
          <w:szCs w:val="32"/>
          <w:lang w:val="en-US" w:eastAsia="zh-CN"/>
        </w:rPr>
        <w:t>门诊慢特病准入认定标准按照省文件执行（附件2）。</w:t>
      </w:r>
    </w:p>
    <w:p w14:paraId="48054C47">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sz w:val="32"/>
          <w:szCs w:val="32"/>
          <w:lang w:val="en-US" w:eastAsia="zh-CN"/>
        </w:rPr>
      </w:pPr>
      <w:r>
        <w:rPr>
          <w:rFonts w:hint="eastAsia" w:ascii="方正小标宋_GBK" w:hAnsi="方正小标宋_GBK" w:eastAsia="方正小标宋_GBK" w:cs="方正小标宋_GBK"/>
          <w:b/>
          <w:bCs/>
          <w:color w:val="auto"/>
          <w:sz w:val="32"/>
          <w:szCs w:val="32"/>
          <w:lang w:val="en-US" w:eastAsia="zh-CN"/>
        </w:rPr>
        <w:t>第四章 门诊慢特病定点管理</w:t>
      </w:r>
    </w:p>
    <w:p w14:paraId="3495529E">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 w:hAnsi="仿宋" w:eastAsia="仿宋" w:cs="仿宋"/>
          <w:b/>
          <w:bCs/>
          <w:color w:val="auto"/>
          <w:sz w:val="32"/>
          <w:szCs w:val="32"/>
          <w:lang w:val="en-US" w:eastAsia="zh-CN"/>
        </w:rPr>
        <w:t>第八条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具备基本医疗保险住院资质的定点医疗机构，可申请成为芜湖市基本医疗保险门诊慢性病定点医疗机构，具体申报流程按定点医疗机构申请开展门诊慢性病业务有关规定执行。纳入本统筹区“双通道”管理的定点零售药店自动确定为门诊慢特病定点零售药店。</w:t>
      </w:r>
    </w:p>
    <w:p w14:paraId="077EE343">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 w:hAnsi="仿宋" w:eastAsia="仿宋" w:cs="仿宋"/>
          <w:b/>
          <w:bCs/>
          <w:color w:val="auto"/>
          <w:sz w:val="32"/>
          <w:szCs w:val="32"/>
          <w:lang w:val="en-US" w:eastAsia="zh-CN"/>
        </w:rPr>
        <w:t>第九条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C00000"/>
          <w:sz w:val="32"/>
          <w:szCs w:val="32"/>
          <w:highlight w:val="none"/>
          <w:lang w:val="en-US" w:eastAsia="zh-CN"/>
        </w:rPr>
        <w:t xml:space="preserve"> </w:t>
      </w:r>
      <w:r>
        <w:rPr>
          <w:rFonts w:hint="eastAsia" w:ascii="仿宋_GB2312" w:hAnsi="仿宋_GB2312" w:eastAsia="仿宋_GB2312" w:cs="仿宋_GB2312"/>
          <w:color w:val="auto"/>
          <w:kern w:val="0"/>
          <w:sz w:val="32"/>
          <w:szCs w:val="32"/>
          <w:lang w:val="en-US" w:eastAsia="zh-CN"/>
        </w:rPr>
        <w:t>职工医保参保人员门诊慢特病定点医药机构选择不受数量限制。居民医保参保人员门诊慢特病定点医疗机构选择不受数量限制。居民医保参保人员可选择我市内“双通道”药店作为其门诊慢特病定点零售药店，不受数量限制。</w:t>
      </w:r>
    </w:p>
    <w:p w14:paraId="78A8F9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第十条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highlight w:val="none"/>
          <w:lang w:val="en-US" w:eastAsia="zh-CN"/>
        </w:rPr>
        <w:t>基本医保慢性肾衰竭（尿毒症期）门诊慢特病患者及城镇职工医保器官移植术后门诊慢特病定点管理按现行签约政策执行。</w:t>
      </w:r>
    </w:p>
    <w:p w14:paraId="13599E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trike w:val="0"/>
          <w:dstrike w:val="0"/>
          <w:color w:val="auto"/>
          <w:kern w:val="0"/>
          <w:sz w:val="32"/>
          <w:szCs w:val="32"/>
          <w:highlight w:val="yellow"/>
          <w:lang w:val="en-US" w:eastAsia="zh-CN"/>
        </w:rPr>
      </w:pPr>
      <w:r>
        <w:rPr>
          <w:rFonts w:hint="eastAsia" w:ascii="仿宋_GB2312" w:hAnsi="仿宋_GB2312" w:eastAsia="仿宋_GB2312" w:cs="仿宋_GB2312"/>
          <w:b/>
          <w:bCs/>
          <w:color w:val="000000"/>
          <w:kern w:val="0"/>
          <w:sz w:val="32"/>
          <w:szCs w:val="32"/>
          <w:highlight w:val="none"/>
          <w:lang w:val="en-US" w:eastAsia="zh-CN" w:bidi="ar"/>
        </w:rPr>
        <w:t>第十一条</w:t>
      </w:r>
      <w:r>
        <w:rPr>
          <w:rFonts w:hint="eastAsia" w:ascii="仿宋_GB2312" w:hAnsi="仿宋_GB2312" w:eastAsia="仿宋_GB2312" w:cs="仿宋_GB2312"/>
          <w:color w:val="000000"/>
          <w:kern w:val="0"/>
          <w:sz w:val="32"/>
          <w:szCs w:val="32"/>
          <w:highlight w:val="none"/>
          <w:lang w:val="en-US" w:eastAsia="zh-CN" w:bidi="ar"/>
        </w:rPr>
        <w:t xml:space="preserve"> 血友病门诊慢特病患者需在本统筹区内自行选择一家具有相关资质的定点医疗机构就诊，在一个自然年度内原则上不予变更。对未在定点医疗机构就诊且非急诊、抢救的血友病患者，门诊慢特病报销比例下降20个百分点。</w:t>
      </w:r>
      <w:r>
        <w:rPr>
          <w:rFonts w:hint="eastAsia" w:ascii="仿宋_GB2312" w:hAnsi="仿宋_GB2312" w:eastAsia="仿宋_GB2312" w:cs="仿宋_GB2312"/>
          <w:color w:val="auto"/>
          <w:kern w:val="0"/>
          <w:sz w:val="32"/>
          <w:szCs w:val="32"/>
          <w:highlight w:val="none"/>
          <w:lang w:val="en-US" w:eastAsia="zh-CN" w:bidi="ar"/>
        </w:rPr>
        <w:t>异地就诊的根据国家、省、市现行政策执行。</w:t>
      </w:r>
    </w:p>
    <w:p w14:paraId="70A557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u w:val="none"/>
          <w:lang w:val="en-US" w:eastAsia="zh-CN"/>
        </w:rPr>
      </w:pPr>
      <w:r>
        <w:rPr>
          <w:rFonts w:hint="eastAsia" w:ascii="仿宋" w:hAnsi="仿宋" w:eastAsia="仿宋" w:cs="仿宋"/>
          <w:b/>
          <w:bCs/>
          <w:color w:val="auto"/>
          <w:sz w:val="32"/>
          <w:szCs w:val="32"/>
          <w:lang w:eastAsia="zh-CN"/>
        </w:rPr>
        <w:t>第十二条</w:t>
      </w:r>
      <w:r>
        <w:rPr>
          <w:rFonts w:hint="eastAsia" w:ascii="仿宋" w:hAnsi="仿宋" w:eastAsia="仿宋" w:cs="仿宋"/>
          <w:color w:val="auto"/>
          <w:sz w:val="32"/>
          <w:szCs w:val="32"/>
          <w:lang w:val="en-US" w:eastAsia="zh-CN"/>
        </w:rPr>
        <w:t xml:space="preserve">  签约患者和血友病门诊慢特病患者</w:t>
      </w:r>
      <w:r>
        <w:rPr>
          <w:rFonts w:hint="eastAsia" w:ascii="仿宋_GB2312" w:hAnsi="仿宋_GB2312" w:eastAsia="仿宋_GB2312" w:cs="仿宋_GB2312"/>
          <w:color w:val="auto"/>
          <w:kern w:val="0"/>
          <w:sz w:val="32"/>
          <w:szCs w:val="32"/>
          <w:u w:val="none"/>
          <w:lang w:val="en-US" w:eastAsia="zh-CN"/>
        </w:rPr>
        <w:t>变更门诊慢特病选定的定点</w:t>
      </w:r>
      <w:r>
        <w:rPr>
          <w:rFonts w:hint="eastAsia" w:ascii="仿宋" w:hAnsi="仿宋" w:eastAsia="仿宋" w:cs="仿宋"/>
          <w:color w:val="auto"/>
          <w:sz w:val="32"/>
          <w:szCs w:val="32"/>
          <w:lang w:val="en-US" w:eastAsia="zh-CN"/>
        </w:rPr>
        <w:t>医疗机构</w:t>
      </w:r>
      <w:r>
        <w:rPr>
          <w:rFonts w:hint="eastAsia" w:ascii="仿宋_GB2312" w:hAnsi="仿宋_GB2312" w:eastAsia="仿宋_GB2312" w:cs="仿宋_GB2312"/>
          <w:color w:val="auto"/>
          <w:kern w:val="0"/>
          <w:sz w:val="32"/>
          <w:szCs w:val="32"/>
          <w:u w:val="none"/>
          <w:lang w:val="en-US" w:eastAsia="zh-CN"/>
        </w:rPr>
        <w:t>，由新选定的定点医疗机构办理。</w:t>
      </w:r>
    </w:p>
    <w:p w14:paraId="2DD79E4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32"/>
          <w:szCs w:val="32"/>
          <w:lang w:val="en-US" w:eastAsia="zh-CN"/>
        </w:rPr>
      </w:pPr>
      <w:r>
        <w:rPr>
          <w:rFonts w:hint="eastAsia" w:ascii="方正小标宋_GBK" w:hAnsi="方正小标宋_GBK" w:eastAsia="方正小标宋_GBK" w:cs="方正小标宋_GBK"/>
          <w:b/>
          <w:bCs/>
          <w:color w:val="auto"/>
          <w:sz w:val="32"/>
          <w:szCs w:val="32"/>
          <w:lang w:val="en-US" w:eastAsia="zh-CN"/>
        </w:rPr>
        <w:t>第五章 门诊慢特病待遇保障</w:t>
      </w:r>
    </w:p>
    <w:p w14:paraId="47FA51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u w:val="none"/>
          <w:lang w:val="en-US" w:eastAsia="zh-CN"/>
        </w:rPr>
      </w:pPr>
      <w:r>
        <w:rPr>
          <w:rFonts w:hint="eastAsia" w:ascii="仿宋" w:hAnsi="仿宋" w:eastAsia="仿宋" w:cs="仿宋"/>
          <w:b/>
          <w:bCs/>
          <w:color w:val="auto"/>
          <w:sz w:val="32"/>
          <w:szCs w:val="32"/>
          <w:lang w:val="en-US" w:eastAsia="zh-CN"/>
        </w:rPr>
        <w:t xml:space="preserve">第十三条  </w:t>
      </w:r>
      <w:r>
        <w:rPr>
          <w:rFonts w:hint="eastAsia" w:ascii="仿宋_GB2312" w:hAnsi="仿宋_GB2312" w:eastAsia="仿宋_GB2312" w:cs="仿宋_GB2312"/>
          <w:color w:val="auto"/>
          <w:kern w:val="0"/>
          <w:sz w:val="32"/>
          <w:szCs w:val="32"/>
          <w:u w:val="none"/>
          <w:lang w:val="en-US" w:eastAsia="zh-CN"/>
        </w:rPr>
        <w:t>根据门诊慢特病患者险种、所患病种性质、就诊医疗机构级别分别设定起付线、报销比例（附件3）及年度限额（附件4）。</w:t>
      </w:r>
    </w:p>
    <w:p w14:paraId="6FD60FF6">
      <w:pPr>
        <w:pStyle w:val="2"/>
        <w:keepNext w:val="0"/>
        <w:keepLines w:val="0"/>
        <w:pageBreakBefore w:val="0"/>
        <w:widowControl w:val="0"/>
        <w:numPr>
          <w:ilvl w:val="1"/>
          <w:numId w:val="0"/>
        </w:numPr>
        <w:kinsoku/>
        <w:wordWrap/>
        <w:overflowPunct/>
        <w:topLinePunct w:val="0"/>
        <w:autoSpaceDE/>
        <w:autoSpaceDN/>
        <w:bidi w:val="0"/>
        <w:adjustRightInd/>
        <w:snapToGrid w:val="0"/>
        <w:spacing w:before="0" w:after="0" w:line="560" w:lineRule="exact"/>
        <w:jc w:val="both"/>
        <w:textAlignment w:val="auto"/>
        <w:rPr>
          <w:rFonts w:hint="default"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rPr>
        <w:t xml:space="preserve">  </w:t>
      </w:r>
      <w:r>
        <w:rPr>
          <w:rFonts w:hint="eastAsia" w:ascii="仿宋" w:hAnsi="仿宋" w:eastAsia="仿宋" w:cs="仿宋"/>
          <w:b/>
          <w:bCs/>
          <w:color w:val="auto"/>
          <w:kern w:val="2"/>
          <w:sz w:val="32"/>
          <w:szCs w:val="32"/>
          <w:lang w:val="en-US" w:eastAsia="zh-CN" w:bidi="ar-SA"/>
        </w:rPr>
        <w:t xml:space="preserve">  第十四条 </w:t>
      </w:r>
      <w:r>
        <w:rPr>
          <w:rFonts w:hint="eastAsia" w:ascii="仿宋_GB2312" w:hAnsi="仿宋_GB2312" w:eastAsia="仿宋_GB2312" w:cs="仿宋_GB2312"/>
          <w:color w:val="auto"/>
          <w:kern w:val="0"/>
          <w:sz w:val="32"/>
          <w:szCs w:val="32"/>
          <w:u w:val="none"/>
          <w:lang w:val="en-US" w:eastAsia="zh-CN"/>
        </w:rPr>
        <w:t xml:space="preserve"> </w:t>
      </w:r>
      <w:r>
        <w:rPr>
          <w:rFonts w:hint="eastAsia" w:ascii="仿宋_GB2312" w:hAnsi="仿宋_GB2312" w:eastAsia="仿宋_GB2312" w:cs="仿宋_GB2312"/>
          <w:color w:val="auto"/>
          <w:kern w:val="0"/>
          <w:sz w:val="32"/>
          <w:szCs w:val="32"/>
          <w:u w:val="none"/>
          <w:lang w:val="en-US" w:eastAsia="zh-CN" w:bidi="ar-SA"/>
        </w:rPr>
        <w:t>同时患多种慢特病的，以支付限额最高的病种为基数，每增加一个病种，按照增加病种限额的50％增加支付额度；关联病种（附件5）按30%增加支付额度。</w:t>
      </w:r>
    </w:p>
    <w:p w14:paraId="3EBD791C">
      <w:pPr>
        <w:pStyle w:val="2"/>
        <w:keepNext w:val="0"/>
        <w:keepLines w:val="0"/>
        <w:pageBreakBefore w:val="0"/>
        <w:widowControl w:val="0"/>
        <w:numPr>
          <w:ilvl w:val="1"/>
          <w:numId w:val="0"/>
        </w:numPr>
        <w:kinsoku/>
        <w:wordWrap/>
        <w:overflowPunct/>
        <w:topLinePunct w:val="0"/>
        <w:autoSpaceDE/>
        <w:autoSpaceDN/>
        <w:bidi w:val="0"/>
        <w:adjustRightInd/>
        <w:snapToGrid w:val="0"/>
        <w:spacing w:before="0" w:after="0" w:line="560" w:lineRule="exact"/>
        <w:ind w:firstLine="643"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 xml:space="preserve">第十五条 </w:t>
      </w:r>
      <w:r>
        <w:rPr>
          <w:rFonts w:hint="eastAsia" w:ascii="仿宋" w:hAnsi="仿宋" w:eastAsia="仿宋" w:cs="仿宋"/>
          <w:color w:val="auto"/>
          <w:kern w:val="2"/>
          <w:sz w:val="32"/>
          <w:szCs w:val="32"/>
          <w:lang w:val="en-US" w:eastAsia="zh-CN" w:bidi="ar-SA"/>
        </w:rPr>
        <w:t xml:space="preserve"> 城乡居民医保参保人员在我市签约家庭医生有偿服务且在签约基层医疗机构进行慢特病门诊治疗的免收起付线。</w:t>
      </w:r>
    </w:p>
    <w:p w14:paraId="2EE05D4D">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第十六条  </w:t>
      </w:r>
      <w:r>
        <w:rPr>
          <w:rFonts w:hint="eastAsia" w:ascii="仿宋_GB2312" w:hAnsi="仿宋_GB2312" w:eastAsia="仿宋_GB2312" w:cs="仿宋_GB2312"/>
          <w:color w:val="auto"/>
          <w:kern w:val="0"/>
          <w:sz w:val="32"/>
          <w:szCs w:val="32"/>
          <w:lang w:val="en-US" w:eastAsia="zh-CN"/>
        </w:rPr>
        <w:t>基本医保门诊慢特病年度支付限额纳入基本医疗保险年度最高限额内管理。</w:t>
      </w:r>
    </w:p>
    <w:p w14:paraId="30432734">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lang w:val="en-US" w:eastAsia="zh-CN"/>
        </w:rPr>
      </w:pPr>
      <w:r>
        <w:rPr>
          <w:rFonts w:hint="eastAsia" w:ascii="仿宋" w:hAnsi="仿宋" w:eastAsia="仿宋" w:cs="仿宋"/>
          <w:b/>
          <w:bCs/>
          <w:color w:val="auto"/>
          <w:sz w:val="32"/>
          <w:szCs w:val="32"/>
          <w:lang w:val="en-US" w:eastAsia="zh-CN"/>
        </w:rPr>
        <w:t xml:space="preserve">第十七条  </w:t>
      </w:r>
      <w:r>
        <w:rPr>
          <w:rFonts w:hint="eastAsia" w:ascii="仿宋_GB2312" w:hAnsi="仿宋_GB2312" w:eastAsia="仿宋_GB2312" w:cs="仿宋_GB2312"/>
          <w:color w:val="auto"/>
          <w:kern w:val="0"/>
          <w:sz w:val="32"/>
          <w:szCs w:val="32"/>
          <w:lang w:val="en-US" w:eastAsia="zh-CN"/>
        </w:rPr>
        <w:t>参保人员参保类别发生变化，门诊慢特病可直接变更到新参保类别，起付线和报销比例按新参保类别重新计算。</w:t>
      </w:r>
    </w:p>
    <w:p w14:paraId="02503588">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 w:hAnsi="仿宋" w:eastAsia="仿宋" w:cs="仿宋"/>
          <w:b/>
          <w:bCs/>
          <w:color w:val="auto"/>
          <w:sz w:val="32"/>
          <w:szCs w:val="32"/>
          <w:lang w:val="en-US" w:eastAsia="zh-CN"/>
        </w:rPr>
        <w:t>第十八条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异地就医参保门诊慢特病患者在就医地定点医疗机构无法满足其用药需求的情形下，可凭定点医疗机构开具的门诊慢特病或住院外配处方，前往就医地“双通道”药店购买国谈药，医保支付价格执行国家规定的国谈药价格。参保患者凭就医地定点医疗机构医保办盖章的外配处方原件（电子处方需打印纸质处方）、药房盖章的记载有用药方案的病历或出院小结、明细清单、有效购药发票等相关材料回参保地经办机构报销。异地就医参保患者，住院期间在就医地双通道药店购买国谈药，按照异地就医定点医疗机构相同的住院待遇执行，两者只计算一次起付线；参保患者异地门诊慢特病就诊时，在就医地双通道药店购买国谈药，按照门诊慢特病异地就医待遇执行。</w:t>
      </w:r>
    </w:p>
    <w:p w14:paraId="627B2F9C">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lang w:val="en-US" w:eastAsia="zh-CN"/>
        </w:rPr>
      </w:pPr>
      <w:r>
        <w:rPr>
          <w:rFonts w:hint="eastAsia" w:ascii="仿宋" w:hAnsi="仿宋" w:eastAsia="仿宋" w:cs="仿宋"/>
          <w:b/>
          <w:bCs/>
          <w:color w:val="auto"/>
          <w:sz w:val="32"/>
          <w:szCs w:val="32"/>
          <w:lang w:val="en-US" w:eastAsia="zh-CN"/>
        </w:rPr>
        <w:t xml:space="preserve">第十九条 </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基本医保门诊慢特病患者在慢特病定点零售药店购药的，原则上按照开具门诊慢特病外购处方的医疗机构等级执行。</w:t>
      </w:r>
    </w:p>
    <w:p w14:paraId="09400B0C">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32"/>
          <w:szCs w:val="32"/>
          <w:lang w:val="en-US" w:eastAsia="zh-CN"/>
        </w:rPr>
      </w:pPr>
      <w:r>
        <w:rPr>
          <w:rFonts w:hint="eastAsia" w:ascii="方正小标宋_GBK" w:hAnsi="方正小标宋_GBK" w:eastAsia="方正小标宋_GBK" w:cs="方正小标宋_GBK"/>
          <w:b/>
          <w:bCs/>
          <w:color w:val="auto"/>
          <w:sz w:val="32"/>
          <w:szCs w:val="32"/>
          <w:lang w:val="en-US" w:eastAsia="zh-CN"/>
        </w:rPr>
        <w:t>第六章  门诊慢特病基金支付</w:t>
      </w:r>
    </w:p>
    <w:p w14:paraId="09839099">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 w:hAnsi="仿宋" w:eastAsia="仿宋" w:cs="仿宋"/>
          <w:b/>
          <w:bCs/>
          <w:color w:val="auto"/>
          <w:sz w:val="32"/>
          <w:szCs w:val="32"/>
          <w:lang w:val="en-US" w:eastAsia="zh-CN"/>
        </w:rPr>
        <w:t>第二十条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门诊慢特病患者医保报销实行按项目付费。参保人在定点医药机构直接结算的，其医疗费用由医保基金支付部分由定点医药机构垫付，参保人员就医结束后由定点医药机构与医保经办机构进行结算；未直接结算前往经办窗口报销的，医保经办机构按规定时间完成审核并拨付报销金额。</w:t>
      </w:r>
    </w:p>
    <w:p w14:paraId="2C1F1540">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 w:hAnsi="仿宋" w:eastAsia="仿宋" w:cs="仿宋"/>
          <w:b/>
          <w:bCs/>
          <w:color w:val="auto"/>
          <w:sz w:val="32"/>
          <w:szCs w:val="32"/>
          <w:lang w:val="en-US" w:eastAsia="zh-CN"/>
        </w:rPr>
        <w:t xml:space="preserve">第二十一条 </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门诊慢特病与病种相关必需的门诊用药、治疗、检查和材料等费用，按规定纳入医保支付范围。与该病种无关的用药、治疗、检查和材料费用，基本医保基金不予支付。</w:t>
      </w:r>
    </w:p>
    <w:p w14:paraId="6463B78C">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kern w:val="0"/>
          <w:sz w:val="32"/>
          <w:szCs w:val="32"/>
          <w:lang w:val="en-US" w:eastAsia="zh-CN"/>
        </w:rPr>
      </w:pPr>
      <w:r>
        <w:rPr>
          <w:rFonts w:hint="eastAsia" w:ascii="仿宋" w:hAnsi="仿宋" w:eastAsia="仿宋" w:cs="仿宋"/>
          <w:b/>
          <w:bCs/>
          <w:color w:val="auto"/>
          <w:sz w:val="32"/>
          <w:szCs w:val="32"/>
          <w:lang w:val="en-US" w:eastAsia="zh-CN"/>
        </w:rPr>
        <w:t xml:space="preserve">第二十二条 </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参保人员因病情变化住院治疗</w:t>
      </w:r>
      <w:r>
        <w:rPr>
          <w:rFonts w:hint="eastAsia" w:ascii="仿宋_GB2312" w:hAnsi="仿宋_GB2312" w:eastAsia="仿宋_GB2312" w:cs="仿宋_GB2312"/>
          <w:color w:val="auto"/>
          <w:kern w:val="0"/>
          <w:sz w:val="32"/>
          <w:szCs w:val="32"/>
          <w:highlight w:val="none"/>
          <w:lang w:val="en-US" w:eastAsia="zh-CN"/>
        </w:rPr>
        <w:t>期间</w:t>
      </w:r>
      <w:r>
        <w:rPr>
          <w:rFonts w:hint="eastAsia" w:ascii="仿宋_GB2312" w:hAnsi="仿宋_GB2312" w:eastAsia="仿宋_GB2312" w:cs="仿宋_GB2312"/>
          <w:color w:val="auto"/>
          <w:kern w:val="0"/>
          <w:sz w:val="32"/>
          <w:szCs w:val="32"/>
          <w:lang w:val="en-US" w:eastAsia="zh-CN"/>
        </w:rPr>
        <w:t>，不得重复享受住院和门诊慢特病医保待遇。</w:t>
      </w:r>
    </w:p>
    <w:p w14:paraId="2AA015B4">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lang w:val="en-US" w:eastAsia="zh-CN"/>
        </w:rPr>
      </w:pPr>
      <w:r>
        <w:rPr>
          <w:rFonts w:hint="eastAsia" w:ascii="仿宋" w:hAnsi="仿宋" w:eastAsia="仿宋" w:cs="仿宋"/>
          <w:b/>
          <w:bCs/>
          <w:color w:val="auto"/>
          <w:sz w:val="32"/>
          <w:szCs w:val="32"/>
          <w:lang w:val="en-US" w:eastAsia="zh-CN"/>
        </w:rPr>
        <w:t xml:space="preserve">第二十三条 </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在本统筹区内实行定点就医的基本医保慢性肾衰竭（尿毒症期）门诊慢性病患者及</w:t>
      </w:r>
      <w:r>
        <w:rPr>
          <w:rFonts w:hint="eastAsia" w:ascii="仿宋_GB2312" w:hAnsi="仿宋_GB2312" w:eastAsia="仿宋_GB2312" w:cs="仿宋_GB2312"/>
          <w:color w:val="auto"/>
          <w:kern w:val="0"/>
          <w:sz w:val="32"/>
          <w:szCs w:val="32"/>
          <w:highlight w:val="none"/>
          <w:lang w:val="en-US" w:eastAsia="zh-CN"/>
        </w:rPr>
        <w:t>城镇</w:t>
      </w:r>
      <w:r>
        <w:rPr>
          <w:rFonts w:hint="eastAsia" w:ascii="仿宋_GB2312" w:hAnsi="仿宋_GB2312" w:eastAsia="仿宋_GB2312" w:cs="仿宋_GB2312"/>
          <w:color w:val="auto"/>
          <w:kern w:val="0"/>
          <w:sz w:val="32"/>
          <w:szCs w:val="32"/>
          <w:lang w:val="en-US" w:eastAsia="zh-CN"/>
        </w:rPr>
        <w:t>职工医保器官移植术后门诊慢</w:t>
      </w:r>
      <w:r>
        <w:rPr>
          <w:rFonts w:hint="eastAsia" w:ascii="仿宋_GB2312" w:hAnsi="仿宋_GB2312" w:eastAsia="仿宋_GB2312" w:cs="仿宋_GB2312"/>
          <w:color w:val="auto"/>
          <w:kern w:val="0"/>
          <w:sz w:val="32"/>
          <w:szCs w:val="32"/>
          <w:highlight w:val="none"/>
          <w:lang w:val="en-US" w:eastAsia="zh-CN"/>
        </w:rPr>
        <w:t>特</w:t>
      </w:r>
      <w:r>
        <w:rPr>
          <w:rFonts w:hint="eastAsia" w:ascii="仿宋_GB2312" w:hAnsi="仿宋_GB2312" w:eastAsia="仿宋_GB2312" w:cs="仿宋_GB2312"/>
          <w:color w:val="auto"/>
          <w:kern w:val="0"/>
          <w:sz w:val="32"/>
          <w:szCs w:val="32"/>
          <w:lang w:val="en-US" w:eastAsia="zh-CN"/>
        </w:rPr>
        <w:t>病患者的基金支付，按现行年度人均定额包干政策执行，逐步稳妥扩大特殊慢性病医保基金年度人均定额包干</w:t>
      </w:r>
      <w:r>
        <w:rPr>
          <w:rFonts w:hint="eastAsia" w:ascii="仿宋_GB2312" w:hAnsi="仿宋_GB2312" w:eastAsia="仿宋_GB2312" w:cs="仿宋_GB2312"/>
          <w:color w:val="auto"/>
          <w:kern w:val="0"/>
          <w:sz w:val="32"/>
          <w:szCs w:val="32"/>
          <w:u w:val="none"/>
          <w:lang w:val="en-US" w:eastAsia="zh-CN"/>
        </w:rPr>
        <w:t>结算的病种覆盖范围</w:t>
      </w:r>
      <w:r>
        <w:rPr>
          <w:rFonts w:hint="eastAsia" w:ascii="仿宋_GB2312" w:hAnsi="仿宋_GB2312" w:eastAsia="仿宋_GB2312" w:cs="仿宋_GB2312"/>
          <w:color w:val="auto"/>
          <w:kern w:val="0"/>
          <w:sz w:val="32"/>
          <w:szCs w:val="32"/>
          <w:lang w:val="en-US" w:eastAsia="zh-CN"/>
        </w:rPr>
        <w:t>。</w:t>
      </w:r>
    </w:p>
    <w:p w14:paraId="36A56AC8">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auto"/>
          <w:kern w:val="0"/>
          <w:sz w:val="32"/>
          <w:szCs w:val="32"/>
          <w:lang w:val="en-US" w:eastAsia="zh-CN"/>
        </w:rPr>
      </w:pPr>
      <w:r>
        <w:rPr>
          <w:rFonts w:hint="eastAsia" w:ascii="仿宋" w:hAnsi="仿宋" w:eastAsia="仿宋" w:cs="仿宋"/>
          <w:b/>
          <w:bCs/>
          <w:color w:val="auto"/>
          <w:sz w:val="32"/>
          <w:szCs w:val="32"/>
          <w:lang w:val="en-US" w:eastAsia="zh-CN"/>
        </w:rPr>
        <w:t>第二十四条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对高血压、糖尿病等病情稳定并需要长期服用固定药物的门诊慢特病，一次处方药量可在遵循医嘱的条件下延长至12周，医保可实行按长期处方结算。</w:t>
      </w:r>
    </w:p>
    <w:p w14:paraId="15F40793">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32"/>
          <w:szCs w:val="32"/>
          <w:lang w:val="en-US" w:eastAsia="zh-CN"/>
        </w:rPr>
      </w:pPr>
    </w:p>
    <w:p w14:paraId="6001EC00">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小标宋_GBK" w:hAnsi="方正小标宋_GBK" w:eastAsia="方正小标宋_GBK" w:cs="方正小标宋_GBK"/>
          <w:b/>
          <w:bCs/>
          <w:color w:val="auto"/>
          <w:sz w:val="32"/>
          <w:szCs w:val="32"/>
          <w:lang w:val="en-US" w:eastAsia="zh-CN"/>
        </w:rPr>
        <w:t>第七章  门诊慢特病经办管理</w:t>
      </w:r>
    </w:p>
    <w:p w14:paraId="1965722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 xml:space="preserve">第二十五条 </w:t>
      </w:r>
      <w:r>
        <w:rPr>
          <w:rFonts w:hint="eastAsia" w:ascii="仿宋_GB2312" w:hAnsi="仿宋_GB2312" w:eastAsia="仿宋_GB2312" w:cs="仿宋_GB2312"/>
          <w:color w:val="auto"/>
          <w:kern w:val="0"/>
          <w:sz w:val="32"/>
          <w:szCs w:val="32"/>
          <w:lang w:val="en-US" w:eastAsia="zh-CN"/>
        </w:rPr>
        <w:t>定点医疗机构应选定若干名副主任以上医师，组成院内门诊慢特病认定专家组（对县、区级医疗机构可放宽至主治医师），对该院受理的门诊慢特病申报材料进行审定，并定期组织复查。</w:t>
      </w:r>
    </w:p>
    <w:p w14:paraId="580E11A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第二十六条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定点医疗机构受理参保人员门诊慢</w:t>
      </w:r>
      <w:r>
        <w:rPr>
          <w:rFonts w:hint="eastAsia" w:ascii="仿宋_GB2312" w:hAnsi="仿宋_GB2312" w:eastAsia="仿宋_GB2312" w:cs="仿宋_GB2312"/>
          <w:color w:val="auto"/>
          <w:kern w:val="0"/>
          <w:sz w:val="32"/>
          <w:szCs w:val="32"/>
          <w:highlight w:val="none"/>
          <w:lang w:val="en-US" w:eastAsia="zh-CN"/>
        </w:rPr>
        <w:t>特</w:t>
      </w:r>
      <w:r>
        <w:rPr>
          <w:rFonts w:hint="eastAsia" w:ascii="仿宋_GB2312" w:hAnsi="仿宋_GB2312" w:eastAsia="仿宋_GB2312" w:cs="仿宋_GB2312"/>
          <w:color w:val="auto"/>
          <w:kern w:val="0"/>
          <w:sz w:val="32"/>
          <w:szCs w:val="32"/>
          <w:lang w:val="en-US" w:eastAsia="zh-CN"/>
        </w:rPr>
        <w:t>病申请后，应及时组织院内门诊慢特病认定专家组，按照医保有关门诊慢特病准入标准，在20个工作日内完成审核认定，并保存申报材料备查。</w:t>
      </w:r>
    </w:p>
    <w:p w14:paraId="1151343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第二十七条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门诊慢特病实行动态准入退出机制。</w:t>
      </w:r>
    </w:p>
    <w:p w14:paraId="5EA1EC5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（一）对于出现以下情形的门诊慢特病患者，终止其门诊慢特病待遇：</w:t>
      </w:r>
    </w:p>
    <w:p w14:paraId="56B4276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1.提供虚假材料取得门诊慢特病认定资质的；</w:t>
      </w:r>
    </w:p>
    <w:p w14:paraId="33FB942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2.医疗机构自查或经办机构抽查中发现的不符合准入认定条件的；</w:t>
      </w:r>
    </w:p>
    <w:p w14:paraId="14DC3E9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3.采用欺诈骗保等行为骗取医保基金的。</w:t>
      </w:r>
    </w:p>
    <w:p w14:paraId="7C0826B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（二）对于数据筛查显示门诊慢特病待遇享受期间连续24个月（含以上）未产生与治疗慢特病有关的医疗费用的门诊慢特病患者，纳入慢</w:t>
      </w:r>
      <w:r>
        <w:rPr>
          <w:rFonts w:hint="eastAsia" w:ascii="仿宋_GB2312" w:hAnsi="仿宋_GB2312" w:eastAsia="仿宋_GB2312" w:cs="仿宋_GB2312"/>
          <w:color w:val="auto"/>
          <w:kern w:val="0"/>
          <w:sz w:val="32"/>
          <w:szCs w:val="32"/>
          <w:highlight w:val="none"/>
          <w:lang w:val="en-US" w:eastAsia="zh-CN"/>
        </w:rPr>
        <w:t>特</w:t>
      </w:r>
      <w:r>
        <w:rPr>
          <w:rFonts w:hint="eastAsia" w:ascii="仿宋_GB2312" w:hAnsi="仿宋_GB2312" w:eastAsia="仿宋_GB2312" w:cs="仿宋_GB2312"/>
          <w:color w:val="auto"/>
          <w:kern w:val="0"/>
          <w:sz w:val="32"/>
          <w:szCs w:val="32"/>
          <w:lang w:val="en-US" w:eastAsia="zh-CN"/>
        </w:rPr>
        <w:t>病鉴定复审。</w:t>
      </w:r>
    </w:p>
    <w:p w14:paraId="522F04F5">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32"/>
          <w:szCs w:val="32"/>
          <w:lang w:val="en-US" w:eastAsia="zh-CN"/>
        </w:rPr>
      </w:pPr>
    </w:p>
    <w:p w14:paraId="3AA2AD65">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b/>
          <w:bCs/>
          <w:color w:val="auto"/>
          <w:sz w:val="32"/>
          <w:szCs w:val="32"/>
          <w:lang w:val="en-US" w:eastAsia="zh-CN"/>
        </w:rPr>
      </w:pPr>
      <w:r>
        <w:rPr>
          <w:rFonts w:hint="eastAsia" w:ascii="方正小标宋_GBK" w:hAnsi="方正小标宋_GBK" w:eastAsia="方正小标宋_GBK" w:cs="方正小标宋_GBK"/>
          <w:b/>
          <w:bCs/>
          <w:color w:val="auto"/>
          <w:sz w:val="32"/>
          <w:szCs w:val="32"/>
          <w:lang w:val="en-US" w:eastAsia="zh-CN"/>
        </w:rPr>
        <w:t>第八章 门诊慢特病基金监管</w:t>
      </w:r>
    </w:p>
    <w:p w14:paraId="75334FB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 xml:space="preserve">第二十八条 </w:t>
      </w:r>
      <w:r>
        <w:rPr>
          <w:rFonts w:hint="eastAsia" w:ascii="仿宋_GB2312" w:hAnsi="仿宋_GB2312" w:eastAsia="仿宋_GB2312" w:cs="仿宋_GB2312"/>
          <w:color w:val="auto"/>
          <w:kern w:val="0"/>
          <w:sz w:val="32"/>
          <w:szCs w:val="32"/>
          <w:lang w:val="en-US" w:eastAsia="zh-CN"/>
        </w:rPr>
        <w:t>各医保经办机构应定期对定点医疗机构当年内门诊慢特病认定情况按照不低于10%比例进行抽查，一年至少1次。经核实不符合认定条件的病种，线下认定的由认定该病种的定点医疗机构及时中止相应的门诊慢特病待遇，线上认定的由参保人属地医保经办机构及时中止相应的门诊慢特病待遇，并自该病种准入认定之日起，所产生的相关门诊慢特病医药费用，全部由为其认定的定点医疗机构或认定专家所属定点医疗机构承担。</w:t>
      </w:r>
    </w:p>
    <w:p w14:paraId="7288583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 w:hAnsi="仿宋" w:eastAsia="仿宋" w:cs="仿宋"/>
          <w:b/>
          <w:bCs/>
          <w:color w:val="auto"/>
          <w:sz w:val="32"/>
          <w:szCs w:val="32"/>
          <w:lang w:eastAsia="zh-CN"/>
        </w:rPr>
        <w:t>第二十九条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对门诊慢特病病种认定准确，但存在超剂量开药等违规行为所产生的门诊慢特病费用，由发生违规费用的定点医疗机构承担。</w:t>
      </w:r>
    </w:p>
    <w:p w14:paraId="361C6AE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 w:hAnsi="仿宋" w:eastAsia="仿宋" w:cs="仿宋"/>
          <w:b/>
          <w:bCs/>
          <w:color w:val="auto"/>
          <w:sz w:val="32"/>
          <w:szCs w:val="32"/>
          <w:lang w:val="en-US" w:eastAsia="zh-CN"/>
        </w:rPr>
        <w:t>第三十条</w:t>
      </w:r>
      <w:r>
        <w:rPr>
          <w:rFonts w:hint="eastAsia" w:ascii="仿宋_GB2312" w:hAnsi="仿宋_GB2312" w:eastAsia="仿宋_GB2312" w:cs="仿宋_GB2312"/>
          <w:color w:val="auto"/>
          <w:kern w:val="0"/>
          <w:sz w:val="32"/>
          <w:szCs w:val="32"/>
          <w:lang w:val="en-US" w:eastAsia="zh-CN"/>
        </w:rPr>
        <w:t xml:space="preserve">  参保人员通过伪造医学文书等有关资料申请门诊慢特病，以及在享受待遇期间出现违规行为，将按有关文件规定处理。</w:t>
      </w:r>
    </w:p>
    <w:p w14:paraId="4B4FCD5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小标宋_GBK" w:hAnsi="方正小标宋_GBK" w:eastAsia="方正小标宋_GBK" w:cs="方正小标宋_GBK"/>
          <w:b/>
          <w:bCs/>
          <w:color w:val="auto"/>
          <w:sz w:val="32"/>
          <w:szCs w:val="32"/>
          <w:lang w:val="en-US" w:eastAsia="zh-CN"/>
        </w:rPr>
      </w:pPr>
      <w:r>
        <w:rPr>
          <w:rFonts w:hint="eastAsia" w:ascii="仿宋" w:hAnsi="仿宋" w:eastAsia="仿宋" w:cs="仿宋"/>
          <w:b/>
          <w:bCs/>
          <w:color w:val="auto"/>
          <w:sz w:val="32"/>
          <w:szCs w:val="32"/>
          <w:lang w:val="en-US" w:eastAsia="zh-CN"/>
        </w:rPr>
        <w:t>第三十一条</w:t>
      </w:r>
      <w:r>
        <w:rPr>
          <w:rFonts w:hint="eastAsia" w:ascii="仿宋_GB2312" w:hAnsi="仿宋_GB2312" w:eastAsia="仿宋_GB2312" w:cs="仿宋_GB2312"/>
          <w:color w:val="auto"/>
          <w:kern w:val="0"/>
          <w:sz w:val="32"/>
          <w:szCs w:val="32"/>
          <w:lang w:val="en-US" w:eastAsia="zh-CN"/>
        </w:rPr>
        <w:t xml:space="preserve">  定点医药机构及其工作人员在认定门诊慢特病待遇和提供门诊慢特病服务中出现违规行为，将按有关文件规定对相关定点医师、定点医药机构等进行处理。</w:t>
      </w:r>
    </w:p>
    <w:p w14:paraId="1E423B97">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32"/>
          <w:szCs w:val="32"/>
          <w:lang w:val="en-US" w:eastAsia="zh-CN"/>
        </w:rPr>
      </w:pPr>
    </w:p>
    <w:p w14:paraId="070C80A0">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auto"/>
          <w:sz w:val="32"/>
          <w:szCs w:val="32"/>
          <w:lang w:val="en-US" w:eastAsia="zh-CN"/>
        </w:rPr>
      </w:pPr>
      <w:r>
        <w:rPr>
          <w:rFonts w:hint="eastAsia" w:ascii="方正小标宋_GBK" w:hAnsi="方正小标宋_GBK" w:eastAsia="方正小标宋_GBK" w:cs="方正小标宋_GBK"/>
          <w:b/>
          <w:bCs/>
          <w:color w:val="auto"/>
          <w:sz w:val="32"/>
          <w:szCs w:val="32"/>
          <w:lang w:val="en-US" w:eastAsia="zh-CN"/>
        </w:rPr>
        <w:t>第九章  附则</w:t>
      </w:r>
    </w:p>
    <w:p w14:paraId="4016584B">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 xml:space="preserve">第三十二条 </w:t>
      </w:r>
      <w:r>
        <w:rPr>
          <w:rFonts w:hint="eastAsia" w:ascii="方正仿宋_GBK" w:hAnsi="方正仿宋_GBK" w:eastAsia="方正仿宋_GBK" w:cs="方正仿宋_GBK"/>
          <w:color w:val="auto"/>
          <w:kern w:val="0"/>
          <w:sz w:val="30"/>
          <w:szCs w:val="30"/>
          <w:lang w:val="en-US" w:eastAsia="zh-CN"/>
        </w:rPr>
        <w:t xml:space="preserve"> </w:t>
      </w:r>
      <w:r>
        <w:rPr>
          <w:rFonts w:hint="eastAsia" w:ascii="仿宋_GB2312" w:hAnsi="仿宋_GB2312" w:eastAsia="仿宋_GB2312" w:cs="仿宋_GB2312"/>
          <w:color w:val="auto"/>
          <w:kern w:val="0"/>
          <w:sz w:val="32"/>
          <w:szCs w:val="32"/>
          <w:lang w:val="en-US" w:eastAsia="zh-CN"/>
        </w:rPr>
        <w:t>本细则自2025年X月X日起开始执行。原基本医疗保险门诊慢特病有关文件与本细则规定不一致的以本细则为准。执行期间，如遇国家、省政策调整，从其规定。</w:t>
      </w:r>
    </w:p>
    <w:p w14:paraId="055CECA5">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第三十</w:t>
      </w:r>
      <w:r>
        <w:rPr>
          <w:rFonts w:hint="eastAsia" w:ascii="方正仿宋_GBK" w:hAnsi="方正仿宋_GBK" w:eastAsia="方正仿宋_GBK" w:cs="方正仿宋_GBK"/>
          <w:b/>
          <w:bCs/>
          <w:color w:val="auto"/>
          <w:kern w:val="0"/>
          <w:sz w:val="32"/>
          <w:szCs w:val="32"/>
          <w:highlight w:val="none"/>
          <w:lang w:val="en-US" w:eastAsia="zh-CN"/>
        </w:rPr>
        <w:t>三</w:t>
      </w:r>
      <w:r>
        <w:rPr>
          <w:rFonts w:hint="eastAsia" w:ascii="方正仿宋_GBK" w:hAnsi="方正仿宋_GBK" w:eastAsia="方正仿宋_GBK" w:cs="方正仿宋_GBK"/>
          <w:b/>
          <w:bCs/>
          <w:color w:val="auto"/>
          <w:kern w:val="0"/>
          <w:sz w:val="32"/>
          <w:szCs w:val="32"/>
          <w:lang w:val="en-US" w:eastAsia="zh-CN"/>
        </w:rPr>
        <w:t>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kern w:val="0"/>
          <w:sz w:val="32"/>
          <w:szCs w:val="32"/>
          <w:lang w:val="en-US" w:eastAsia="zh-CN"/>
        </w:rPr>
        <w:t>本细则由市医保局负责解释。</w:t>
      </w:r>
    </w:p>
    <w:p w14:paraId="64E42D9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p>
    <w:p w14:paraId="2AC2AB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附件：</w:t>
      </w:r>
    </w:p>
    <w:p w14:paraId="72CAE6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1.芜湖市基本医疗保险参保人员门诊慢特病准入申请表</w:t>
      </w:r>
    </w:p>
    <w:p w14:paraId="53DA31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2.门诊慢特病准入认定标准</w:t>
      </w:r>
    </w:p>
    <w:p w14:paraId="5C6657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3.门诊慢特病</w:t>
      </w:r>
      <w:r>
        <w:rPr>
          <w:rFonts w:hint="eastAsia" w:ascii="仿宋_GB2312" w:hAnsi="仿宋_GB2312" w:eastAsia="仿宋_GB2312" w:cs="仿宋_GB2312"/>
          <w:color w:val="auto"/>
          <w:kern w:val="0"/>
          <w:sz w:val="32"/>
          <w:szCs w:val="32"/>
          <w:highlight w:val="none"/>
          <w:u w:val="none"/>
          <w:lang w:val="en-US" w:eastAsia="zh-CN"/>
        </w:rPr>
        <w:t>起付线及报销比例</w:t>
      </w:r>
    </w:p>
    <w:p w14:paraId="498BF1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 xml:space="preserve">4.门诊慢特病年度限额  </w:t>
      </w:r>
    </w:p>
    <w:p w14:paraId="5E26EB52">
      <w:pPr>
        <w:pStyle w:val="2"/>
        <w:keepNext w:val="0"/>
        <w:keepLines w:val="0"/>
        <w:pageBreakBefore w:val="0"/>
        <w:widowControl w:val="0"/>
        <w:numPr>
          <w:ilvl w:val="1"/>
          <w:numId w:val="0"/>
        </w:numPr>
        <w:kinsoku/>
        <w:wordWrap/>
        <w:overflowPunct/>
        <w:topLinePunct w:val="0"/>
        <w:autoSpaceDE/>
        <w:autoSpaceDN/>
        <w:bidi w:val="0"/>
        <w:adjustRightInd/>
        <w:spacing w:before="0" w:after="0" w:line="560" w:lineRule="exact"/>
        <w:ind w:firstLine="640" w:firstLineChars="200"/>
        <w:textAlignment w:val="auto"/>
        <w:rPr>
          <w:rFonts w:hint="default"/>
          <w:lang w:val="en-US" w:eastAsia="zh-CN"/>
        </w:rPr>
      </w:pPr>
      <w:r>
        <w:rPr>
          <w:rFonts w:hint="eastAsia" w:ascii="仿宋_GB2312" w:hAnsi="仿宋_GB2312" w:eastAsia="仿宋_GB2312" w:cs="仿宋_GB2312"/>
          <w:color w:val="auto"/>
          <w:kern w:val="0"/>
          <w:sz w:val="32"/>
          <w:szCs w:val="32"/>
          <w:u w:val="none"/>
          <w:lang w:val="en-US" w:eastAsia="zh-CN"/>
        </w:rPr>
        <w:t>5.关联病种</w:t>
      </w:r>
    </w:p>
    <w:p w14:paraId="3C5511FC">
      <w:pPr>
        <w:spacing w:line="360" w:lineRule="exact"/>
        <w:jc w:val="both"/>
        <w:rPr>
          <w:rFonts w:hint="eastAsia" w:ascii="方正仿宋_GBK" w:hAnsi="方正仿宋_GBK" w:eastAsia="方正仿宋_GBK" w:cs="方正仿宋_GBK"/>
          <w:color w:val="auto"/>
          <w:kern w:val="0"/>
          <w:sz w:val="30"/>
          <w:szCs w:val="30"/>
          <w:lang w:val="en-US" w:eastAsia="zh-CN"/>
        </w:rPr>
      </w:pPr>
    </w:p>
    <w:p w14:paraId="0D8583BE">
      <w:pPr>
        <w:spacing w:line="360" w:lineRule="exact"/>
        <w:jc w:val="both"/>
        <w:rPr>
          <w:rFonts w:hint="eastAsia" w:ascii="方正仿宋_GBK" w:hAnsi="方正仿宋_GBK" w:eastAsia="方正仿宋_GBK" w:cs="方正仿宋_GBK"/>
          <w:color w:val="auto"/>
          <w:kern w:val="0"/>
          <w:sz w:val="30"/>
          <w:szCs w:val="30"/>
          <w:lang w:val="en-US" w:eastAsia="zh-CN"/>
        </w:rPr>
      </w:pPr>
    </w:p>
    <w:p w14:paraId="2AC0B523">
      <w:pPr>
        <w:spacing w:line="360" w:lineRule="exact"/>
        <w:jc w:val="both"/>
        <w:rPr>
          <w:rFonts w:hint="eastAsia" w:ascii="方正仿宋_GBK" w:hAnsi="方正仿宋_GBK" w:eastAsia="方正仿宋_GBK" w:cs="方正仿宋_GBK"/>
          <w:color w:val="auto"/>
          <w:kern w:val="0"/>
          <w:sz w:val="30"/>
          <w:szCs w:val="30"/>
          <w:lang w:val="en-US" w:eastAsia="zh-CN"/>
        </w:rPr>
      </w:pPr>
    </w:p>
    <w:p w14:paraId="73C6DF08">
      <w:pPr>
        <w:spacing w:line="360" w:lineRule="exact"/>
        <w:jc w:val="both"/>
        <w:rPr>
          <w:rFonts w:hint="eastAsia" w:ascii="方正仿宋_GBK" w:hAnsi="方正仿宋_GBK" w:eastAsia="方正仿宋_GBK" w:cs="方正仿宋_GBK"/>
          <w:color w:val="auto"/>
          <w:kern w:val="0"/>
          <w:sz w:val="30"/>
          <w:szCs w:val="30"/>
          <w:lang w:val="en-US" w:eastAsia="zh-CN"/>
        </w:rPr>
      </w:pPr>
    </w:p>
    <w:p w14:paraId="0C6ED3A3">
      <w:pPr>
        <w:spacing w:line="360" w:lineRule="exact"/>
        <w:jc w:val="both"/>
        <w:rPr>
          <w:rFonts w:hint="eastAsia" w:ascii="方正仿宋_GBK" w:hAnsi="方正仿宋_GBK" w:eastAsia="方正仿宋_GBK" w:cs="方正仿宋_GBK"/>
          <w:color w:val="auto"/>
          <w:kern w:val="0"/>
          <w:sz w:val="30"/>
          <w:szCs w:val="30"/>
          <w:lang w:val="en-US" w:eastAsia="zh-CN"/>
        </w:rPr>
      </w:pPr>
    </w:p>
    <w:p w14:paraId="3D459233">
      <w:pPr>
        <w:spacing w:line="360" w:lineRule="exact"/>
        <w:jc w:val="both"/>
        <w:rPr>
          <w:rFonts w:hint="eastAsia" w:ascii="方正仿宋_GBK" w:hAnsi="方正仿宋_GBK" w:eastAsia="方正仿宋_GBK" w:cs="方正仿宋_GBK"/>
          <w:color w:val="auto"/>
          <w:kern w:val="0"/>
          <w:sz w:val="30"/>
          <w:szCs w:val="30"/>
          <w:lang w:val="en-US" w:eastAsia="zh-CN"/>
        </w:rPr>
      </w:pPr>
    </w:p>
    <w:p w14:paraId="337FD46D">
      <w:pPr>
        <w:spacing w:line="360" w:lineRule="exact"/>
        <w:jc w:val="both"/>
        <w:rPr>
          <w:rFonts w:hint="eastAsia" w:ascii="方正仿宋_GBK" w:hAnsi="方正仿宋_GBK" w:eastAsia="方正仿宋_GBK" w:cs="方正仿宋_GBK"/>
          <w:color w:val="auto"/>
          <w:kern w:val="0"/>
          <w:sz w:val="30"/>
          <w:szCs w:val="30"/>
          <w:lang w:val="en-US" w:eastAsia="zh-CN"/>
        </w:rPr>
      </w:pPr>
    </w:p>
    <w:p w14:paraId="5D2C1028">
      <w:pPr>
        <w:spacing w:line="360" w:lineRule="exact"/>
        <w:jc w:val="both"/>
        <w:rPr>
          <w:rFonts w:hint="eastAsia" w:ascii="方正仿宋_GBK" w:hAnsi="方正仿宋_GBK" w:eastAsia="方正仿宋_GBK" w:cs="方正仿宋_GBK"/>
          <w:color w:val="auto"/>
          <w:kern w:val="0"/>
          <w:sz w:val="30"/>
          <w:szCs w:val="30"/>
          <w:lang w:val="en-US" w:eastAsia="zh-CN"/>
        </w:rPr>
      </w:pPr>
    </w:p>
    <w:p w14:paraId="5E347021">
      <w:pPr>
        <w:spacing w:line="360" w:lineRule="exact"/>
        <w:jc w:val="both"/>
        <w:rPr>
          <w:rFonts w:hint="eastAsia" w:ascii="方正仿宋_GBK" w:hAnsi="方正仿宋_GBK" w:eastAsia="方正仿宋_GBK" w:cs="方正仿宋_GBK"/>
          <w:color w:val="auto"/>
          <w:kern w:val="0"/>
          <w:sz w:val="30"/>
          <w:szCs w:val="30"/>
          <w:lang w:val="en-US" w:eastAsia="zh-CN"/>
        </w:rPr>
      </w:pPr>
    </w:p>
    <w:p w14:paraId="67271764">
      <w:pPr>
        <w:spacing w:line="360" w:lineRule="exact"/>
        <w:jc w:val="both"/>
        <w:rPr>
          <w:rFonts w:hint="eastAsia" w:ascii="方正仿宋_GBK" w:hAnsi="方正仿宋_GBK" w:eastAsia="方正仿宋_GBK" w:cs="方正仿宋_GBK"/>
          <w:color w:val="auto"/>
          <w:kern w:val="0"/>
          <w:sz w:val="30"/>
          <w:szCs w:val="30"/>
          <w:lang w:val="en-US" w:eastAsia="zh-CN"/>
        </w:rPr>
      </w:pPr>
    </w:p>
    <w:p w14:paraId="0CF5EC1B">
      <w:pPr>
        <w:spacing w:line="360" w:lineRule="exact"/>
        <w:jc w:val="both"/>
        <w:rPr>
          <w:rFonts w:hint="eastAsia" w:ascii="方正仿宋_GBK" w:hAnsi="方正仿宋_GBK" w:eastAsia="方正仿宋_GBK" w:cs="方正仿宋_GBK"/>
          <w:color w:val="auto"/>
          <w:kern w:val="0"/>
          <w:sz w:val="30"/>
          <w:szCs w:val="30"/>
          <w:lang w:val="en-US" w:eastAsia="zh-CN"/>
        </w:rPr>
      </w:pPr>
    </w:p>
    <w:p w14:paraId="38B72032">
      <w:pPr>
        <w:spacing w:line="360" w:lineRule="exact"/>
        <w:jc w:val="both"/>
        <w:rPr>
          <w:rFonts w:hint="eastAsia" w:ascii="方正仿宋_GBK" w:hAnsi="方正仿宋_GBK" w:eastAsia="方正仿宋_GBK" w:cs="方正仿宋_GBK"/>
          <w:color w:val="auto"/>
          <w:kern w:val="0"/>
          <w:sz w:val="30"/>
          <w:szCs w:val="30"/>
          <w:lang w:val="en-US" w:eastAsia="zh-CN"/>
        </w:rPr>
      </w:pPr>
    </w:p>
    <w:p w14:paraId="329202ED">
      <w:pPr>
        <w:spacing w:line="360" w:lineRule="exact"/>
        <w:jc w:val="both"/>
        <w:rPr>
          <w:rFonts w:hint="eastAsia" w:ascii="方正仿宋_GBK" w:hAnsi="方正仿宋_GBK" w:eastAsia="方正仿宋_GBK" w:cs="方正仿宋_GBK"/>
          <w:color w:val="auto"/>
          <w:kern w:val="0"/>
          <w:sz w:val="30"/>
          <w:szCs w:val="30"/>
          <w:lang w:val="en-US" w:eastAsia="zh-CN"/>
        </w:rPr>
      </w:pPr>
    </w:p>
    <w:p w14:paraId="0F7DCD3F">
      <w:pPr>
        <w:spacing w:line="360" w:lineRule="exact"/>
        <w:jc w:val="both"/>
        <w:rPr>
          <w:rFonts w:hint="eastAsia" w:ascii="方正仿宋_GBK" w:hAnsi="方正仿宋_GBK" w:eastAsia="方正仿宋_GBK" w:cs="方正仿宋_GBK"/>
          <w:color w:val="auto"/>
          <w:kern w:val="0"/>
          <w:sz w:val="30"/>
          <w:szCs w:val="30"/>
          <w:lang w:val="en-US" w:eastAsia="zh-CN"/>
        </w:rPr>
      </w:pPr>
    </w:p>
    <w:p w14:paraId="16BED368">
      <w:pPr>
        <w:spacing w:line="360" w:lineRule="exact"/>
        <w:jc w:val="both"/>
        <w:rPr>
          <w:rFonts w:hint="eastAsia" w:ascii="方正仿宋_GBK" w:hAnsi="方正仿宋_GBK" w:eastAsia="方正仿宋_GBK" w:cs="方正仿宋_GBK"/>
          <w:color w:val="auto"/>
          <w:kern w:val="0"/>
          <w:sz w:val="30"/>
          <w:szCs w:val="30"/>
          <w:lang w:val="en-US" w:eastAsia="zh-CN"/>
        </w:rPr>
      </w:pPr>
    </w:p>
    <w:p w14:paraId="2C7E87BC">
      <w:pPr>
        <w:spacing w:line="360" w:lineRule="exact"/>
        <w:jc w:val="both"/>
        <w:rPr>
          <w:rFonts w:hint="eastAsia" w:ascii="方正仿宋_GBK" w:hAnsi="方正仿宋_GBK" w:eastAsia="方正仿宋_GBK" w:cs="方正仿宋_GBK"/>
          <w:color w:val="auto"/>
          <w:kern w:val="0"/>
          <w:sz w:val="30"/>
          <w:szCs w:val="30"/>
          <w:lang w:val="en-US" w:eastAsia="zh-CN"/>
        </w:rPr>
      </w:pPr>
    </w:p>
    <w:p w14:paraId="36C78C4B">
      <w:pPr>
        <w:spacing w:line="360" w:lineRule="exact"/>
        <w:jc w:val="both"/>
        <w:rPr>
          <w:rFonts w:hint="eastAsia" w:ascii="方正仿宋_GBK" w:hAnsi="方正仿宋_GBK" w:eastAsia="方正仿宋_GBK" w:cs="方正仿宋_GBK"/>
          <w:color w:val="auto"/>
          <w:kern w:val="0"/>
          <w:sz w:val="30"/>
          <w:szCs w:val="30"/>
          <w:lang w:val="en-US" w:eastAsia="zh-CN"/>
        </w:rPr>
      </w:pPr>
    </w:p>
    <w:p w14:paraId="79B5CC1B">
      <w:pPr>
        <w:spacing w:line="360" w:lineRule="exact"/>
        <w:jc w:val="both"/>
        <w:rPr>
          <w:rFonts w:hint="eastAsia" w:ascii="方正仿宋_GBK" w:hAnsi="方正仿宋_GBK" w:eastAsia="方正仿宋_GBK" w:cs="方正仿宋_GBK"/>
          <w:color w:val="auto"/>
          <w:kern w:val="0"/>
          <w:sz w:val="30"/>
          <w:szCs w:val="30"/>
          <w:lang w:val="en-US" w:eastAsia="zh-CN"/>
        </w:rPr>
      </w:pPr>
    </w:p>
    <w:p w14:paraId="693DD8E6">
      <w:pPr>
        <w:spacing w:line="360" w:lineRule="exact"/>
        <w:jc w:val="both"/>
        <w:rPr>
          <w:rFonts w:hint="eastAsia" w:ascii="方正仿宋_GBK" w:hAnsi="方正仿宋_GBK" w:eastAsia="方正仿宋_GBK" w:cs="方正仿宋_GBK"/>
          <w:color w:val="auto"/>
          <w:kern w:val="0"/>
          <w:sz w:val="30"/>
          <w:szCs w:val="30"/>
          <w:lang w:val="en-US" w:eastAsia="zh-CN"/>
        </w:rPr>
      </w:pPr>
    </w:p>
    <w:p w14:paraId="6D4E9372">
      <w:pPr>
        <w:spacing w:line="360" w:lineRule="exact"/>
        <w:jc w:val="both"/>
        <w:rPr>
          <w:rFonts w:hint="eastAsia" w:ascii="方正仿宋_GBK" w:hAnsi="方正仿宋_GBK" w:eastAsia="方正仿宋_GBK" w:cs="方正仿宋_GBK"/>
          <w:color w:val="auto"/>
          <w:kern w:val="0"/>
          <w:sz w:val="30"/>
          <w:szCs w:val="30"/>
          <w:lang w:val="en-US" w:eastAsia="zh-CN"/>
        </w:rPr>
      </w:pPr>
    </w:p>
    <w:p w14:paraId="58411CBF">
      <w:pPr>
        <w:spacing w:line="360" w:lineRule="exact"/>
        <w:jc w:val="both"/>
        <w:rPr>
          <w:rFonts w:hint="eastAsia" w:ascii="方正仿宋_GBK" w:hAnsi="方正仿宋_GBK" w:eastAsia="方正仿宋_GBK" w:cs="方正仿宋_GBK"/>
          <w:color w:val="auto"/>
          <w:kern w:val="0"/>
          <w:sz w:val="30"/>
          <w:szCs w:val="30"/>
          <w:lang w:val="en-US" w:eastAsia="zh-CN"/>
        </w:rPr>
      </w:pPr>
    </w:p>
    <w:p w14:paraId="685F6F6B">
      <w:pPr>
        <w:spacing w:line="360" w:lineRule="exact"/>
        <w:jc w:val="both"/>
        <w:rPr>
          <w:rFonts w:hint="eastAsia" w:ascii="方正仿宋_GBK" w:hAnsi="方正仿宋_GBK" w:eastAsia="方正仿宋_GBK" w:cs="方正仿宋_GBK"/>
          <w:color w:val="auto"/>
          <w:kern w:val="0"/>
          <w:sz w:val="30"/>
          <w:szCs w:val="30"/>
          <w:lang w:val="en-US" w:eastAsia="zh-CN"/>
        </w:rPr>
      </w:pPr>
    </w:p>
    <w:p w14:paraId="3A854DF1">
      <w:pPr>
        <w:spacing w:line="360" w:lineRule="exact"/>
        <w:jc w:val="both"/>
        <w:rPr>
          <w:rFonts w:hint="eastAsia" w:ascii="方正仿宋_GBK" w:hAnsi="方正仿宋_GBK" w:eastAsia="方正仿宋_GBK" w:cs="方正仿宋_GBK"/>
          <w:color w:val="auto"/>
          <w:kern w:val="0"/>
          <w:sz w:val="30"/>
          <w:szCs w:val="30"/>
          <w:lang w:val="en-US" w:eastAsia="zh-CN"/>
        </w:rPr>
      </w:pPr>
    </w:p>
    <w:p w14:paraId="34E79B64">
      <w:pPr>
        <w:spacing w:line="360" w:lineRule="exact"/>
        <w:jc w:val="both"/>
        <w:rPr>
          <w:rFonts w:hint="eastAsia" w:ascii="方正仿宋_GBK" w:hAnsi="方正仿宋_GBK" w:eastAsia="方正仿宋_GBK" w:cs="方正仿宋_GBK"/>
          <w:color w:val="auto"/>
          <w:kern w:val="0"/>
          <w:sz w:val="30"/>
          <w:szCs w:val="30"/>
          <w:lang w:val="en-US" w:eastAsia="zh-CN"/>
        </w:rPr>
      </w:pPr>
    </w:p>
    <w:p w14:paraId="2133AE10">
      <w:pPr>
        <w:spacing w:line="360" w:lineRule="exact"/>
        <w:jc w:val="both"/>
        <w:rPr>
          <w:rFonts w:hint="eastAsia" w:ascii="黑体" w:eastAsia="黑体"/>
          <w:color w:val="auto"/>
          <w:sz w:val="32"/>
          <w:szCs w:val="32"/>
        </w:rPr>
      </w:pPr>
      <w:r>
        <w:rPr>
          <w:rFonts w:hint="eastAsia" w:ascii="方正仿宋_GBK" w:hAnsi="方正仿宋_GBK" w:eastAsia="方正仿宋_GBK" w:cs="方正仿宋_GBK"/>
          <w:color w:val="auto"/>
          <w:kern w:val="0"/>
          <w:sz w:val="30"/>
          <w:szCs w:val="30"/>
          <w:lang w:val="en-US" w:eastAsia="zh-CN"/>
        </w:rPr>
        <w:t xml:space="preserve">附件1 </w:t>
      </w:r>
      <w:r>
        <w:rPr>
          <w:rFonts w:hint="eastAsia" w:ascii="黑体" w:eastAsia="黑体"/>
          <w:color w:val="auto"/>
          <w:sz w:val="32"/>
          <w:szCs w:val="32"/>
          <w:lang w:val="en-US" w:eastAsia="zh-CN"/>
        </w:rPr>
        <w:t xml:space="preserve">           </w:t>
      </w:r>
      <w:r>
        <w:rPr>
          <w:rFonts w:hint="eastAsia" w:ascii="黑体" w:eastAsia="黑体"/>
          <w:color w:val="auto"/>
          <w:sz w:val="32"/>
          <w:szCs w:val="32"/>
        </w:rPr>
        <w:t>芜湖市基本医疗保险</w:t>
      </w:r>
    </w:p>
    <w:p w14:paraId="158B4B81">
      <w:pPr>
        <w:spacing w:line="360" w:lineRule="exact"/>
        <w:jc w:val="center"/>
        <w:rPr>
          <w:rFonts w:hint="eastAsia" w:ascii="黑体" w:eastAsia="黑体"/>
          <w:color w:val="auto"/>
          <w:sz w:val="32"/>
          <w:szCs w:val="32"/>
        </w:rPr>
      </w:pPr>
      <w:r>
        <w:rPr>
          <w:rFonts w:hint="eastAsia" w:ascii="黑体" w:eastAsia="黑体"/>
          <w:color w:val="auto"/>
          <w:sz w:val="32"/>
          <w:szCs w:val="32"/>
        </w:rPr>
        <w:t>参保人员门诊慢特病准入申请表</w:t>
      </w:r>
    </w:p>
    <w:p w14:paraId="2FC9CF29">
      <w:pPr>
        <w:spacing w:line="400" w:lineRule="exact"/>
        <w:rPr>
          <w:rFonts w:hint="eastAsia" w:ascii="仿宋_GB2312" w:eastAsia="仿宋_GB2312"/>
          <w:color w:val="auto"/>
          <w:sz w:val="24"/>
        </w:rPr>
      </w:pPr>
      <w:r>
        <w:rPr>
          <w:rFonts w:hint="eastAsia" w:ascii="仿宋_GB2312" w:hAnsi="新宋体-18030" w:eastAsia="仿宋_GB2312" w:cs="新宋体-18030"/>
          <w:color w:val="auto"/>
          <w:sz w:val="24"/>
        </w:rPr>
        <w:t>编号：</w:t>
      </w:r>
      <w:r>
        <w:rPr>
          <w:rFonts w:hint="eastAsia" w:ascii="仿宋_GB2312" w:eastAsia="仿宋_GB2312"/>
          <w:color w:val="auto"/>
          <w:sz w:val="24"/>
        </w:rPr>
        <w:t xml:space="preserve"> </w:t>
      </w:r>
      <w:r>
        <w:rPr>
          <w:rFonts w:hint="eastAsia" w:ascii="楷体_GB2312" w:eastAsia="楷体_GB2312"/>
          <w:color w:val="auto"/>
          <w:sz w:val="24"/>
        </w:rPr>
        <w:t xml:space="preserve"> </w:t>
      </w:r>
      <w:r>
        <w:rPr>
          <w:rFonts w:hint="eastAsia" w:ascii="仿宋_GB2312" w:eastAsia="仿宋_GB2312"/>
          <w:color w:val="auto"/>
          <w:sz w:val="24"/>
        </w:rPr>
        <w:t xml:space="preserve">    </w:t>
      </w:r>
      <w:r>
        <w:rPr>
          <w:rFonts w:hint="eastAsia" w:ascii="仿宋_GB2312" w:eastAsia="仿宋_GB2312"/>
          <w:color w:val="auto"/>
          <w:sz w:val="24"/>
          <w:lang w:val="en-US" w:eastAsia="zh-CN"/>
        </w:rPr>
        <w:t xml:space="preserve">  </w:t>
      </w:r>
      <w:r>
        <w:rPr>
          <w:rFonts w:hint="eastAsia" w:ascii="仿宋_GB2312" w:eastAsia="仿宋_GB2312"/>
          <w:color w:val="auto"/>
          <w:sz w:val="24"/>
        </w:rPr>
        <w:t>医保类别：职工医保</w:t>
      </w:r>
      <w:r>
        <w:rPr>
          <w:rFonts w:hint="eastAsia" w:ascii="仿宋_GB2312" w:hAnsi="宋体" w:eastAsia="仿宋_GB2312" w:cs="宋体"/>
          <w:color w:val="auto"/>
          <w:spacing w:val="-20"/>
          <w:kern w:val="0"/>
          <w:sz w:val="24"/>
        </w:rPr>
        <w:t xml:space="preserve"> □    城乡居民医保 □</w:t>
      </w:r>
      <w:r>
        <w:rPr>
          <w:rFonts w:hint="eastAsia" w:ascii="仿宋_GB2312" w:eastAsia="仿宋_GB2312"/>
          <w:color w:val="auto"/>
          <w:sz w:val="24"/>
        </w:rPr>
        <w:t xml:space="preserve">   受理时间：</w:t>
      </w:r>
    </w:p>
    <w:tbl>
      <w:tblPr>
        <w:tblStyle w:val="3"/>
        <w:tblW w:w="50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605"/>
        <w:gridCol w:w="1125"/>
        <w:gridCol w:w="765"/>
        <w:gridCol w:w="675"/>
        <w:gridCol w:w="410"/>
        <w:gridCol w:w="370"/>
        <w:gridCol w:w="480"/>
        <w:gridCol w:w="765"/>
        <w:gridCol w:w="495"/>
        <w:gridCol w:w="2083"/>
      </w:tblGrid>
      <w:tr w14:paraId="0022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87" w:type="pct"/>
            <w:noWrap w:val="0"/>
            <w:vAlign w:val="center"/>
          </w:tcPr>
          <w:p w14:paraId="69FD9DE0">
            <w:pPr>
              <w:widowControl/>
              <w:jc w:val="center"/>
              <w:rPr>
                <w:rFonts w:hint="eastAsia" w:ascii="仿宋_GB2312" w:eastAsia="仿宋_GB2312"/>
                <w:color w:val="auto"/>
                <w:sz w:val="24"/>
              </w:rPr>
            </w:pPr>
            <w:r>
              <w:rPr>
                <w:rFonts w:hint="eastAsia" w:ascii="仿宋_GB2312" w:hAnsi="Times New Roman" w:eastAsia="仿宋_GB2312" w:cs="Times New Roman"/>
                <w:color w:val="auto"/>
                <w:sz w:val="24"/>
                <w:lang w:val="en-US" w:eastAsia="zh-CN"/>
              </w:rPr>
              <w:t>姓名</w:t>
            </w:r>
          </w:p>
        </w:tc>
        <w:tc>
          <w:tcPr>
            <w:tcW w:w="1004" w:type="pct"/>
            <w:gridSpan w:val="2"/>
            <w:noWrap w:val="0"/>
            <w:vAlign w:val="center"/>
          </w:tcPr>
          <w:p w14:paraId="0EED6DD5">
            <w:pPr>
              <w:widowControl/>
              <w:jc w:val="center"/>
              <w:rPr>
                <w:rFonts w:hint="eastAsia" w:ascii="仿宋_GB2312" w:hAnsi="宋体" w:eastAsia="仿宋_GB2312" w:cs="宋体"/>
                <w:color w:val="auto"/>
                <w:spacing w:val="-20"/>
                <w:kern w:val="0"/>
                <w:sz w:val="24"/>
              </w:rPr>
            </w:pPr>
          </w:p>
        </w:tc>
        <w:tc>
          <w:tcPr>
            <w:tcW w:w="444" w:type="pct"/>
            <w:noWrap w:val="0"/>
            <w:vAlign w:val="center"/>
          </w:tcPr>
          <w:p w14:paraId="7B2B7BEF">
            <w:pPr>
              <w:widowControl/>
              <w:jc w:val="center"/>
              <w:rPr>
                <w:rFonts w:hint="eastAsia" w:ascii="仿宋_GB2312" w:eastAsia="仿宋_GB2312"/>
                <w:color w:val="auto"/>
                <w:sz w:val="24"/>
              </w:rPr>
            </w:pPr>
            <w:r>
              <w:rPr>
                <w:rFonts w:hint="eastAsia" w:ascii="仿宋_GB2312" w:eastAsia="仿宋_GB2312"/>
                <w:color w:val="auto"/>
                <w:sz w:val="24"/>
              </w:rPr>
              <w:t>性别</w:t>
            </w:r>
          </w:p>
        </w:tc>
        <w:tc>
          <w:tcPr>
            <w:tcW w:w="391" w:type="pct"/>
            <w:noWrap w:val="0"/>
            <w:vAlign w:val="center"/>
          </w:tcPr>
          <w:p w14:paraId="4023F65D">
            <w:pPr>
              <w:widowControl/>
              <w:jc w:val="center"/>
              <w:rPr>
                <w:rFonts w:hint="eastAsia" w:ascii="仿宋_GB2312" w:eastAsia="仿宋_GB2312"/>
                <w:color w:val="auto"/>
                <w:sz w:val="24"/>
              </w:rPr>
            </w:pPr>
          </w:p>
        </w:tc>
        <w:tc>
          <w:tcPr>
            <w:tcW w:w="452" w:type="pct"/>
            <w:gridSpan w:val="2"/>
            <w:noWrap w:val="0"/>
            <w:vAlign w:val="center"/>
          </w:tcPr>
          <w:p w14:paraId="799C7EA2">
            <w:pPr>
              <w:widowControl/>
              <w:jc w:val="center"/>
              <w:rPr>
                <w:rFonts w:hint="eastAsia" w:ascii="仿宋_GB2312" w:hAnsi="宋体" w:eastAsia="仿宋_GB2312" w:cs="宋体"/>
                <w:color w:val="auto"/>
                <w:spacing w:val="-20"/>
                <w:kern w:val="0"/>
                <w:sz w:val="24"/>
              </w:rPr>
            </w:pPr>
            <w:r>
              <w:rPr>
                <w:rFonts w:hint="eastAsia" w:ascii="仿宋_GB2312" w:eastAsia="仿宋_GB2312"/>
                <w:color w:val="auto"/>
                <w:sz w:val="24"/>
              </w:rPr>
              <w:t>年龄</w:t>
            </w:r>
          </w:p>
        </w:tc>
        <w:tc>
          <w:tcPr>
            <w:tcW w:w="278" w:type="pct"/>
            <w:noWrap w:val="0"/>
            <w:vAlign w:val="center"/>
          </w:tcPr>
          <w:p w14:paraId="5EB34C1B">
            <w:pPr>
              <w:widowControl/>
              <w:jc w:val="center"/>
              <w:rPr>
                <w:rFonts w:hint="eastAsia" w:ascii="仿宋_GB2312" w:eastAsia="仿宋_GB2312"/>
                <w:color w:val="auto"/>
                <w:sz w:val="24"/>
              </w:rPr>
            </w:pPr>
          </w:p>
        </w:tc>
        <w:tc>
          <w:tcPr>
            <w:tcW w:w="731" w:type="pct"/>
            <w:gridSpan w:val="2"/>
            <w:noWrap w:val="0"/>
            <w:vAlign w:val="center"/>
          </w:tcPr>
          <w:p w14:paraId="4C6820E7">
            <w:pPr>
              <w:widowControl/>
              <w:jc w:val="center"/>
              <w:rPr>
                <w:rFonts w:hint="eastAsia" w:ascii="仿宋_GB2312" w:hAnsi="宋体" w:eastAsia="仿宋_GB2312" w:cs="宋体"/>
                <w:color w:val="auto"/>
                <w:spacing w:val="-20"/>
                <w:kern w:val="0"/>
                <w:sz w:val="24"/>
              </w:rPr>
            </w:pPr>
            <w:r>
              <w:rPr>
                <w:rFonts w:hint="eastAsia" w:ascii="仿宋_GB2312" w:eastAsia="仿宋_GB2312"/>
                <w:color w:val="auto"/>
                <w:sz w:val="24"/>
              </w:rPr>
              <w:t>联系电话</w:t>
            </w:r>
          </w:p>
        </w:tc>
        <w:tc>
          <w:tcPr>
            <w:tcW w:w="1209" w:type="pct"/>
            <w:noWrap w:val="0"/>
            <w:vAlign w:val="center"/>
          </w:tcPr>
          <w:p w14:paraId="499A01CC">
            <w:pPr>
              <w:widowControl/>
              <w:jc w:val="center"/>
              <w:rPr>
                <w:rFonts w:hint="eastAsia" w:ascii="仿宋_GB2312" w:eastAsia="仿宋_GB2312"/>
                <w:color w:val="auto"/>
                <w:sz w:val="24"/>
              </w:rPr>
            </w:pPr>
          </w:p>
        </w:tc>
      </w:tr>
      <w:tr w14:paraId="18BD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38" w:type="pct"/>
            <w:gridSpan w:val="2"/>
            <w:noWrap w:val="0"/>
            <w:vAlign w:val="center"/>
          </w:tcPr>
          <w:p w14:paraId="6C30B2A9">
            <w:pPr>
              <w:widowControl/>
              <w:jc w:val="center"/>
              <w:rPr>
                <w:rFonts w:hint="eastAsia" w:ascii="仿宋_GB2312" w:eastAsia="仿宋_GB2312"/>
                <w:color w:val="auto"/>
                <w:sz w:val="24"/>
              </w:rPr>
            </w:pPr>
            <w:r>
              <w:rPr>
                <w:rFonts w:hint="eastAsia" w:ascii="仿宋_GB2312" w:hAnsi="Times New Roman" w:eastAsia="仿宋_GB2312" w:cs="Times New Roman"/>
                <w:color w:val="auto"/>
                <w:sz w:val="24"/>
              </w:rPr>
              <w:t>身份证号码</w:t>
            </w:r>
          </w:p>
        </w:tc>
        <w:tc>
          <w:tcPr>
            <w:tcW w:w="1489" w:type="pct"/>
            <w:gridSpan w:val="3"/>
            <w:noWrap w:val="0"/>
            <w:vAlign w:val="center"/>
          </w:tcPr>
          <w:p w14:paraId="33E565B1">
            <w:pPr>
              <w:widowControl/>
              <w:jc w:val="center"/>
              <w:rPr>
                <w:rFonts w:hint="eastAsia" w:ascii="仿宋_GB2312" w:hAnsi="宋体" w:eastAsia="仿宋_GB2312" w:cs="宋体"/>
                <w:color w:val="auto"/>
                <w:spacing w:val="-20"/>
                <w:kern w:val="0"/>
                <w:sz w:val="24"/>
              </w:rPr>
            </w:pPr>
          </w:p>
        </w:tc>
        <w:tc>
          <w:tcPr>
            <w:tcW w:w="1463" w:type="pct"/>
            <w:gridSpan w:val="5"/>
            <w:noWrap w:val="0"/>
            <w:vAlign w:val="center"/>
          </w:tcPr>
          <w:p w14:paraId="7C5EFD9D">
            <w:pPr>
              <w:widowControl/>
              <w:jc w:val="center"/>
              <w:rPr>
                <w:rFonts w:hint="eastAsia" w:ascii="仿宋_GB2312" w:hAnsi="宋体" w:eastAsia="仿宋_GB2312" w:cs="宋体"/>
                <w:color w:val="auto"/>
                <w:spacing w:val="-20"/>
                <w:kern w:val="0"/>
                <w:sz w:val="24"/>
              </w:rPr>
            </w:pPr>
            <w:r>
              <w:rPr>
                <w:rFonts w:hint="eastAsia" w:ascii="仿宋_GB2312" w:eastAsia="仿宋_GB2312"/>
                <w:color w:val="auto"/>
                <w:sz w:val="24"/>
              </w:rPr>
              <w:t>单位名称（家庭住址）</w:t>
            </w:r>
          </w:p>
        </w:tc>
        <w:tc>
          <w:tcPr>
            <w:tcW w:w="1209" w:type="pct"/>
            <w:noWrap w:val="0"/>
            <w:vAlign w:val="center"/>
          </w:tcPr>
          <w:p w14:paraId="55248376">
            <w:pPr>
              <w:widowControl/>
              <w:jc w:val="center"/>
              <w:rPr>
                <w:rFonts w:hint="eastAsia" w:ascii="仿宋_GB2312" w:hAnsi="宋体" w:eastAsia="仿宋_GB2312" w:cs="宋体"/>
                <w:color w:val="auto"/>
                <w:spacing w:val="-20"/>
                <w:kern w:val="0"/>
                <w:sz w:val="24"/>
              </w:rPr>
            </w:pPr>
          </w:p>
        </w:tc>
      </w:tr>
      <w:tr w14:paraId="49F0F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1491" w:type="pct"/>
            <w:gridSpan w:val="3"/>
            <w:noWrap w:val="0"/>
            <w:vAlign w:val="center"/>
          </w:tcPr>
          <w:p w14:paraId="33B7ED6C">
            <w:pPr>
              <w:widowControl/>
              <w:jc w:val="center"/>
              <w:rPr>
                <w:rFonts w:hint="eastAsia" w:ascii="仿宋_GB2312" w:hAnsi="宋体" w:eastAsia="仿宋_GB2312" w:cs="宋体"/>
                <w:color w:val="auto"/>
                <w:spacing w:val="-20"/>
                <w:kern w:val="0"/>
                <w:sz w:val="24"/>
              </w:rPr>
            </w:pPr>
            <w:r>
              <w:rPr>
                <w:rFonts w:hint="eastAsia" w:ascii="仿宋_GB2312" w:eastAsia="仿宋_GB2312"/>
                <w:color w:val="auto"/>
                <w:sz w:val="24"/>
                <w:lang w:eastAsia="zh-CN"/>
              </w:rPr>
              <w:t>选择</w:t>
            </w:r>
            <w:r>
              <w:rPr>
                <w:rFonts w:hint="eastAsia" w:ascii="仿宋_GB2312" w:eastAsia="仿宋_GB2312"/>
                <w:color w:val="auto"/>
                <w:sz w:val="24"/>
              </w:rPr>
              <w:t>定点医疗机</w:t>
            </w:r>
            <w:r>
              <w:rPr>
                <w:rFonts w:hint="eastAsia" w:ascii="仿宋_GB2312" w:eastAsia="仿宋_GB2312"/>
                <w:color w:val="auto"/>
                <w:sz w:val="24"/>
                <w:lang w:eastAsia="zh-CN"/>
              </w:rPr>
              <w:t>构（限签约</w:t>
            </w:r>
            <w:r>
              <w:rPr>
                <w:rFonts w:hint="eastAsia" w:ascii="仿宋_GB2312" w:eastAsia="仿宋_GB2312"/>
                <w:color w:val="auto"/>
                <w:sz w:val="24"/>
                <w:highlight w:val="none"/>
                <w:lang w:eastAsia="zh-CN"/>
              </w:rPr>
              <w:t>及定点管理</w:t>
            </w:r>
            <w:r>
              <w:rPr>
                <w:rFonts w:hint="eastAsia" w:ascii="仿宋_GB2312" w:eastAsia="仿宋_GB2312"/>
                <w:color w:val="auto"/>
                <w:sz w:val="24"/>
                <w:lang w:eastAsia="zh-CN"/>
              </w:rPr>
              <w:t>患者）</w:t>
            </w:r>
          </w:p>
        </w:tc>
        <w:tc>
          <w:tcPr>
            <w:tcW w:w="3508" w:type="pct"/>
            <w:gridSpan w:val="8"/>
            <w:noWrap w:val="0"/>
            <w:vAlign w:val="center"/>
          </w:tcPr>
          <w:p w14:paraId="18C864B4">
            <w:pPr>
              <w:widowControl/>
              <w:jc w:val="center"/>
              <w:rPr>
                <w:rFonts w:hint="eastAsia" w:ascii="仿宋_GB2312" w:hAnsi="宋体" w:eastAsia="仿宋_GB2312" w:cs="宋体"/>
                <w:color w:val="auto"/>
                <w:spacing w:val="-20"/>
                <w:kern w:val="0"/>
                <w:sz w:val="24"/>
              </w:rPr>
            </w:pPr>
          </w:p>
        </w:tc>
      </w:tr>
      <w:tr w14:paraId="248C6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9" w:hRule="exact"/>
        </w:trPr>
        <w:tc>
          <w:tcPr>
            <w:tcW w:w="838" w:type="pct"/>
            <w:gridSpan w:val="2"/>
            <w:noWrap w:val="0"/>
            <w:vAlign w:val="center"/>
          </w:tcPr>
          <w:p w14:paraId="0DC59FFA">
            <w:pPr>
              <w:jc w:val="center"/>
              <w:rPr>
                <w:rFonts w:hint="eastAsia" w:ascii="仿宋_GB2312" w:eastAsia="仿宋_GB2312"/>
                <w:color w:val="auto"/>
                <w:sz w:val="24"/>
              </w:rPr>
            </w:pPr>
            <w:r>
              <w:rPr>
                <w:rFonts w:hint="eastAsia" w:ascii="仿宋_GB2312" w:eastAsia="仿宋_GB2312"/>
                <w:color w:val="auto"/>
                <w:sz w:val="24"/>
              </w:rPr>
              <w:t>申</w:t>
            </w:r>
          </w:p>
          <w:p w14:paraId="30931F93">
            <w:pPr>
              <w:jc w:val="center"/>
              <w:rPr>
                <w:rFonts w:hint="eastAsia" w:ascii="仿宋_GB2312" w:eastAsia="仿宋_GB2312"/>
                <w:color w:val="auto"/>
                <w:sz w:val="24"/>
              </w:rPr>
            </w:pPr>
            <w:r>
              <w:rPr>
                <w:rFonts w:hint="eastAsia" w:ascii="仿宋_GB2312" w:eastAsia="仿宋_GB2312"/>
                <w:color w:val="auto"/>
                <w:sz w:val="24"/>
              </w:rPr>
              <w:t>请</w:t>
            </w:r>
          </w:p>
          <w:p w14:paraId="5883399A">
            <w:pPr>
              <w:jc w:val="center"/>
              <w:rPr>
                <w:rFonts w:hint="eastAsia" w:ascii="仿宋_GB2312" w:eastAsia="仿宋_GB2312"/>
                <w:color w:val="auto"/>
                <w:sz w:val="24"/>
              </w:rPr>
            </w:pPr>
            <w:r>
              <w:rPr>
                <w:rFonts w:hint="eastAsia" w:ascii="仿宋_GB2312" w:eastAsia="仿宋_GB2312"/>
                <w:color w:val="auto"/>
                <w:sz w:val="24"/>
              </w:rPr>
              <w:t>病</w:t>
            </w:r>
          </w:p>
          <w:p w14:paraId="53A0C1E0">
            <w:pPr>
              <w:jc w:val="center"/>
              <w:rPr>
                <w:rFonts w:hint="eastAsia" w:ascii="仿宋_GB2312" w:eastAsia="仿宋_GB2312"/>
                <w:color w:val="auto"/>
                <w:sz w:val="24"/>
              </w:rPr>
            </w:pPr>
            <w:r>
              <w:rPr>
                <w:rFonts w:hint="eastAsia" w:ascii="仿宋_GB2312" w:eastAsia="仿宋_GB2312"/>
                <w:color w:val="auto"/>
                <w:sz w:val="24"/>
              </w:rPr>
              <w:t>种</w:t>
            </w:r>
          </w:p>
        </w:tc>
        <w:tc>
          <w:tcPr>
            <w:tcW w:w="4161" w:type="pct"/>
            <w:gridSpan w:val="9"/>
            <w:noWrap w:val="0"/>
            <w:vAlign w:val="center"/>
          </w:tcPr>
          <w:p w14:paraId="2DCE4450">
            <w:pPr>
              <w:widowControl/>
              <w:jc w:val="left"/>
              <w:rPr>
                <w:rFonts w:hint="eastAsia" w:ascii="仿宋_GB2312" w:hAnsi="宋体" w:eastAsia="仿宋_GB2312" w:cs="宋体"/>
                <w:color w:val="auto"/>
                <w:spacing w:val="-20"/>
                <w:kern w:val="0"/>
                <w:szCs w:val="21"/>
                <w:lang w:val="en-US" w:eastAsia="zh-CN"/>
              </w:rPr>
            </w:pPr>
            <w:r>
              <w:rPr>
                <w:rFonts w:hint="eastAsia" w:ascii="仿宋_GB2312" w:hAnsi="宋体" w:eastAsia="仿宋_GB2312" w:cs="宋体"/>
                <w:b/>
                <w:bCs/>
                <w:color w:val="auto"/>
                <w:spacing w:val="-20"/>
                <w:kern w:val="0"/>
                <w:szCs w:val="21"/>
              </w:rPr>
              <w:t>普通慢性病</w:t>
            </w:r>
            <w:r>
              <w:rPr>
                <w:rFonts w:hint="eastAsia" w:ascii="仿宋_GB2312" w:hAnsi="宋体" w:eastAsia="仿宋_GB2312" w:cs="宋体"/>
                <w:color w:val="auto"/>
                <w:spacing w:val="-20"/>
                <w:kern w:val="0"/>
                <w:szCs w:val="21"/>
              </w:rPr>
              <w:t xml:space="preserve">：高血压（□高血压  □高血压伴并发症）  □冠心病   □心功能不全  </w:t>
            </w:r>
            <w:r>
              <w:rPr>
                <w:rFonts w:hint="eastAsia" w:ascii="仿宋_GB2312" w:hAnsi="宋体" w:eastAsia="仿宋_GB2312" w:cs="宋体"/>
                <w:color w:val="auto"/>
                <w:spacing w:val="-20"/>
                <w:kern w:val="0"/>
                <w:szCs w:val="21"/>
                <w:lang w:eastAsia="zh-CN"/>
              </w:rPr>
              <w:t>□</w:t>
            </w:r>
            <w:r>
              <w:rPr>
                <w:rFonts w:hint="eastAsia" w:ascii="仿宋_GB2312" w:hAnsi="宋体" w:eastAsia="仿宋_GB2312" w:cs="宋体"/>
                <w:color w:val="auto"/>
                <w:spacing w:val="-20"/>
                <w:kern w:val="0"/>
                <w:szCs w:val="21"/>
              </w:rPr>
              <w:t>慢性阻塞性肺疾病   □支气管哮喘  □溃疡性结肠炎   □晚期血吸虫病   □自身免疫性肝病   □慢性肾脏病   □肾病综合征   糖尿病（□糖尿病□糖尿病胰岛素治疗）  □甲状腺功能亢进症   □甲状腺功能减退症   □脑卒中   □癫痫  □帕金森综合症   □阿尔茨海默病（老年痴呆） □重症肌无力  □肌萎缩侧索硬化症  □青光眼  □黄斑性眼病  银屑病</w:t>
            </w:r>
            <w:r>
              <w:rPr>
                <w:rFonts w:hint="eastAsia" w:ascii="仿宋_GB2312" w:hAnsi="宋体" w:eastAsia="仿宋_GB2312" w:cs="宋体"/>
                <w:color w:val="auto"/>
                <w:spacing w:val="-20"/>
                <w:kern w:val="0"/>
                <w:szCs w:val="21"/>
                <w:lang w:eastAsia="zh-CN"/>
              </w:rPr>
              <w:t>（</w:t>
            </w:r>
            <w:r>
              <w:rPr>
                <w:rFonts w:hint="eastAsia" w:ascii="仿宋_GB2312" w:hAnsi="宋体" w:eastAsia="仿宋_GB2312" w:cs="宋体"/>
                <w:color w:val="auto"/>
                <w:spacing w:val="-20"/>
                <w:kern w:val="0"/>
                <w:szCs w:val="21"/>
              </w:rPr>
              <w:t>□</w:t>
            </w:r>
            <w:r>
              <w:rPr>
                <w:rFonts w:hint="eastAsia" w:ascii="仿宋_GB2312" w:hAnsi="宋体" w:eastAsia="仿宋_GB2312" w:cs="宋体"/>
                <w:color w:val="auto"/>
                <w:spacing w:val="-20"/>
                <w:kern w:val="0"/>
                <w:szCs w:val="21"/>
                <w:lang w:eastAsia="zh-CN"/>
              </w:rPr>
              <w:t>生物制剂治疗</w:t>
            </w:r>
            <w:r>
              <w:rPr>
                <w:rFonts w:hint="eastAsia" w:ascii="仿宋_GB2312" w:hAnsi="宋体" w:eastAsia="仿宋_GB2312" w:cs="宋体"/>
                <w:color w:val="auto"/>
                <w:spacing w:val="-20"/>
                <w:kern w:val="0"/>
                <w:szCs w:val="21"/>
              </w:rPr>
              <w:t>□</w:t>
            </w:r>
            <w:r>
              <w:rPr>
                <w:rFonts w:hint="eastAsia" w:ascii="仿宋_GB2312" w:hAnsi="宋体" w:eastAsia="仿宋_GB2312" w:cs="宋体"/>
                <w:color w:val="auto"/>
                <w:spacing w:val="-20"/>
                <w:kern w:val="0"/>
                <w:szCs w:val="21"/>
                <w:lang w:eastAsia="zh-CN"/>
              </w:rPr>
              <w:t>非生物制剂治疗）</w:t>
            </w:r>
            <w:r>
              <w:rPr>
                <w:rFonts w:hint="eastAsia" w:ascii="仿宋_GB2312" w:hAnsi="宋体" w:eastAsia="仿宋_GB2312" w:cs="宋体"/>
                <w:color w:val="auto"/>
                <w:spacing w:val="-20"/>
                <w:kern w:val="0"/>
                <w:szCs w:val="21"/>
              </w:rPr>
              <w:t xml:space="preserve">  □白癜风  □慢性乙型肝炎    慢性丙型肝炎（□非 1b型  □1b型）  □非耐药性结核病  □艾滋病   □类风湿性关节炎    □强直性脊柱炎    □白塞氏病    □系统性硬化症    □干燥综合征    □多发性肌炎    □皮肌炎     □结节性多动脉炎    □脑瘫</w:t>
            </w:r>
            <w:r>
              <w:rPr>
                <w:rFonts w:hint="eastAsia" w:ascii="仿宋_GB2312" w:hAnsi="宋体" w:eastAsia="仿宋_GB2312" w:cs="宋体"/>
                <w:color w:val="auto"/>
                <w:spacing w:val="-20"/>
                <w:kern w:val="0"/>
                <w:szCs w:val="21"/>
                <w:lang w:val="en-US" w:eastAsia="zh-CN"/>
              </w:rPr>
              <w:t xml:space="preserve">  </w:t>
            </w:r>
            <w:r>
              <w:rPr>
                <w:rFonts w:hint="eastAsia" w:ascii="仿宋_GB2312" w:hAnsi="宋体" w:eastAsia="仿宋_GB2312" w:cs="宋体"/>
                <w:color w:val="auto"/>
                <w:spacing w:val="-20"/>
                <w:kern w:val="0"/>
                <w:szCs w:val="21"/>
              </w:rPr>
              <w:t>□</w:t>
            </w:r>
            <w:r>
              <w:rPr>
                <w:rFonts w:hint="eastAsia" w:ascii="仿宋_GB2312" w:hAnsi="宋体" w:eastAsia="仿宋_GB2312" w:cs="宋体"/>
                <w:color w:val="auto"/>
                <w:spacing w:val="-20"/>
                <w:kern w:val="0"/>
                <w:szCs w:val="21"/>
                <w:lang w:val="en-US" w:eastAsia="zh-CN"/>
              </w:rPr>
              <w:t xml:space="preserve">肝硬化  </w:t>
            </w:r>
            <w:r>
              <w:rPr>
                <w:rFonts w:hint="eastAsia" w:ascii="仿宋_GB2312" w:hAnsi="宋体" w:eastAsia="仿宋_GB2312" w:cs="宋体"/>
                <w:color w:val="auto"/>
                <w:spacing w:val="-20"/>
                <w:kern w:val="0"/>
                <w:szCs w:val="21"/>
              </w:rPr>
              <w:t>□</w:t>
            </w:r>
            <w:r>
              <w:rPr>
                <w:rFonts w:hint="eastAsia" w:ascii="仿宋_GB2312" w:hAnsi="宋体" w:eastAsia="仿宋_GB2312" w:cs="宋体"/>
                <w:color w:val="auto"/>
                <w:spacing w:val="-20"/>
                <w:kern w:val="0"/>
                <w:szCs w:val="21"/>
                <w:lang w:val="en-US" w:eastAsia="zh-CN"/>
              </w:rPr>
              <w:t xml:space="preserve">精神障碍  </w:t>
            </w:r>
            <w:r>
              <w:rPr>
                <w:rFonts w:hint="eastAsia" w:ascii="仿宋_GB2312" w:hAnsi="宋体" w:eastAsia="仿宋_GB2312" w:cs="宋体"/>
                <w:color w:val="auto"/>
                <w:spacing w:val="-20"/>
                <w:kern w:val="0"/>
                <w:szCs w:val="21"/>
              </w:rPr>
              <w:t>□</w:t>
            </w:r>
            <w:r>
              <w:rPr>
                <w:rFonts w:hint="eastAsia" w:ascii="仿宋_GB2312" w:hAnsi="宋体" w:eastAsia="仿宋_GB2312" w:cs="宋体"/>
                <w:color w:val="auto"/>
                <w:spacing w:val="-20"/>
                <w:kern w:val="0"/>
                <w:szCs w:val="21"/>
                <w:lang w:val="en-US" w:eastAsia="zh-CN"/>
              </w:rPr>
              <w:t xml:space="preserve">ANCA相关血管炎  </w:t>
            </w:r>
            <w:r>
              <w:rPr>
                <w:rFonts w:hint="eastAsia" w:ascii="仿宋_GB2312" w:hAnsi="宋体" w:eastAsia="仿宋_GB2312" w:cs="宋体"/>
                <w:color w:val="auto"/>
                <w:spacing w:val="-20"/>
                <w:kern w:val="0"/>
                <w:szCs w:val="21"/>
              </w:rPr>
              <w:t>□</w:t>
            </w:r>
            <w:r>
              <w:rPr>
                <w:rFonts w:hint="eastAsia" w:ascii="仿宋_GB2312" w:hAnsi="宋体" w:eastAsia="仿宋_GB2312" w:cs="宋体"/>
                <w:color w:val="auto"/>
                <w:spacing w:val="-20"/>
                <w:kern w:val="0"/>
                <w:szCs w:val="21"/>
                <w:lang w:val="en-US" w:eastAsia="zh-CN"/>
              </w:rPr>
              <w:t xml:space="preserve">心脏瓣膜置换术后  </w:t>
            </w:r>
            <w:r>
              <w:rPr>
                <w:rFonts w:hint="eastAsia" w:ascii="仿宋_GB2312" w:hAnsi="宋体" w:eastAsia="仿宋_GB2312" w:cs="宋体"/>
                <w:color w:val="auto"/>
                <w:spacing w:val="-20"/>
                <w:kern w:val="0"/>
                <w:szCs w:val="21"/>
              </w:rPr>
              <w:t>□</w:t>
            </w:r>
            <w:r>
              <w:rPr>
                <w:rFonts w:hint="eastAsia" w:ascii="仿宋_GB2312" w:hAnsi="宋体" w:eastAsia="仿宋_GB2312" w:cs="宋体"/>
                <w:color w:val="auto"/>
                <w:spacing w:val="-20"/>
                <w:kern w:val="0"/>
                <w:szCs w:val="21"/>
                <w:lang w:val="en-US" w:eastAsia="zh-CN"/>
              </w:rPr>
              <w:t xml:space="preserve">血管支架植入术后  </w:t>
            </w:r>
            <w:r>
              <w:rPr>
                <w:rFonts w:hint="eastAsia" w:ascii="仿宋_GB2312" w:hAnsi="宋体" w:eastAsia="仿宋_GB2312" w:cs="宋体"/>
                <w:color w:val="auto"/>
                <w:spacing w:val="-20"/>
                <w:kern w:val="0"/>
                <w:szCs w:val="21"/>
              </w:rPr>
              <w:t>□</w:t>
            </w:r>
            <w:r>
              <w:rPr>
                <w:rFonts w:hint="eastAsia" w:ascii="仿宋_GB2312" w:hAnsi="宋体" w:eastAsia="仿宋_GB2312" w:cs="宋体"/>
                <w:color w:val="auto"/>
                <w:spacing w:val="-20"/>
                <w:kern w:val="0"/>
                <w:szCs w:val="21"/>
                <w:lang w:val="en-US" w:eastAsia="zh-CN"/>
              </w:rPr>
              <w:t xml:space="preserve">心脏冠脉搭桥术后  </w:t>
            </w:r>
            <w:r>
              <w:rPr>
                <w:rFonts w:hint="eastAsia" w:ascii="仿宋_GB2312" w:hAnsi="宋体" w:eastAsia="仿宋_GB2312" w:cs="宋体"/>
                <w:color w:val="auto"/>
                <w:spacing w:val="-20"/>
                <w:kern w:val="0"/>
                <w:szCs w:val="21"/>
              </w:rPr>
              <w:t>□</w:t>
            </w:r>
            <w:r>
              <w:rPr>
                <w:rFonts w:hint="eastAsia" w:ascii="仿宋_GB2312" w:hAnsi="宋体" w:eastAsia="仿宋_GB2312" w:cs="宋体"/>
                <w:color w:val="auto"/>
                <w:spacing w:val="-20"/>
                <w:kern w:val="0"/>
                <w:szCs w:val="21"/>
                <w:lang w:val="en-US" w:eastAsia="zh-CN"/>
              </w:rPr>
              <w:t xml:space="preserve">进行性肌营养不良症  </w:t>
            </w:r>
            <w:r>
              <w:rPr>
                <w:rFonts w:hint="eastAsia" w:ascii="仿宋_GB2312" w:hAnsi="宋体" w:eastAsia="仿宋_GB2312" w:cs="宋体"/>
                <w:color w:val="auto"/>
                <w:spacing w:val="-20"/>
                <w:kern w:val="0"/>
                <w:szCs w:val="21"/>
              </w:rPr>
              <w:t>□</w:t>
            </w:r>
            <w:r>
              <w:rPr>
                <w:rFonts w:hint="eastAsia" w:ascii="仿宋_GB2312" w:hAnsi="宋体" w:eastAsia="仿宋_GB2312" w:cs="宋体"/>
                <w:color w:val="auto"/>
                <w:spacing w:val="-20"/>
                <w:kern w:val="0"/>
                <w:szCs w:val="21"/>
                <w:lang w:val="en-US" w:eastAsia="zh-CN"/>
              </w:rPr>
              <w:t>严重性春季角</w:t>
            </w:r>
            <w:r>
              <w:rPr>
                <w:rFonts w:hint="eastAsia" w:ascii="仿宋_GB2312" w:hAnsi="宋体" w:eastAsia="仿宋_GB2312" w:cs="宋体"/>
                <w:color w:val="auto"/>
                <w:spacing w:val="-20"/>
                <w:kern w:val="0"/>
                <w:szCs w:val="21"/>
                <w:highlight w:val="none"/>
                <w:lang w:val="en-US" w:eastAsia="zh-CN"/>
              </w:rPr>
              <w:t>结</w:t>
            </w:r>
            <w:r>
              <w:rPr>
                <w:rFonts w:hint="eastAsia" w:ascii="仿宋_GB2312" w:hAnsi="宋体" w:eastAsia="仿宋_GB2312" w:cs="宋体"/>
                <w:color w:val="auto"/>
                <w:spacing w:val="-20"/>
                <w:kern w:val="0"/>
                <w:szCs w:val="21"/>
                <w:lang w:val="en-US" w:eastAsia="zh-CN"/>
              </w:rPr>
              <w:t>膜炎  慢性荨麻疹（</w:t>
            </w:r>
            <w:r>
              <w:rPr>
                <w:rFonts w:hint="eastAsia" w:ascii="仿宋_GB2312" w:hAnsi="宋体" w:eastAsia="仿宋_GB2312" w:cs="宋体"/>
                <w:color w:val="auto"/>
                <w:spacing w:val="-20"/>
                <w:kern w:val="0"/>
                <w:szCs w:val="21"/>
              </w:rPr>
              <w:t>□</w:t>
            </w:r>
            <w:r>
              <w:rPr>
                <w:rFonts w:hint="eastAsia" w:ascii="仿宋_GB2312" w:hAnsi="宋体" w:eastAsia="仿宋_GB2312" w:cs="宋体"/>
                <w:color w:val="auto"/>
                <w:spacing w:val="-20"/>
                <w:kern w:val="0"/>
                <w:szCs w:val="21"/>
                <w:lang w:val="en-US" w:eastAsia="zh-CN"/>
              </w:rPr>
              <w:t>普通型</w:t>
            </w:r>
            <w:r>
              <w:rPr>
                <w:rFonts w:hint="eastAsia" w:ascii="仿宋_GB2312" w:hAnsi="宋体" w:eastAsia="仿宋_GB2312" w:cs="宋体"/>
                <w:color w:val="auto"/>
                <w:spacing w:val="-20"/>
                <w:kern w:val="0"/>
                <w:szCs w:val="21"/>
              </w:rPr>
              <w:t>□</w:t>
            </w:r>
            <w:r>
              <w:rPr>
                <w:rFonts w:hint="eastAsia" w:ascii="仿宋_GB2312" w:hAnsi="宋体" w:eastAsia="仿宋_GB2312" w:cs="宋体"/>
                <w:color w:val="auto"/>
                <w:spacing w:val="-20"/>
                <w:kern w:val="0"/>
                <w:szCs w:val="21"/>
                <w:lang w:val="en-US" w:eastAsia="zh-CN"/>
              </w:rPr>
              <w:t xml:space="preserve">难治型）      </w:t>
            </w:r>
            <w:r>
              <w:rPr>
                <w:rFonts w:hint="eastAsia" w:ascii="仿宋_GB2312" w:hAnsi="宋体" w:eastAsia="仿宋_GB2312" w:cs="宋体"/>
                <w:color w:val="auto"/>
                <w:spacing w:val="-20"/>
                <w:kern w:val="0"/>
                <w:szCs w:val="21"/>
              </w:rPr>
              <w:t>□</w:t>
            </w:r>
            <w:r>
              <w:rPr>
                <w:rFonts w:hint="eastAsia" w:ascii="仿宋_GB2312" w:hAnsi="宋体" w:eastAsia="仿宋_GB2312" w:cs="宋体"/>
                <w:color w:val="auto"/>
                <w:spacing w:val="-20"/>
                <w:kern w:val="0"/>
                <w:szCs w:val="21"/>
                <w:lang w:val="en-US" w:eastAsia="zh-CN"/>
              </w:rPr>
              <w:t xml:space="preserve">阵发性睡眠性血红蛋白尿  </w:t>
            </w:r>
            <w:r>
              <w:rPr>
                <w:rFonts w:hint="eastAsia" w:ascii="仿宋_GB2312" w:hAnsi="宋体" w:eastAsia="仿宋_GB2312" w:cs="宋体"/>
                <w:color w:val="auto"/>
                <w:spacing w:val="-20"/>
                <w:kern w:val="0"/>
                <w:szCs w:val="21"/>
              </w:rPr>
              <w:t>□</w:t>
            </w:r>
            <w:r>
              <w:rPr>
                <w:rFonts w:hint="eastAsia" w:ascii="仿宋_GB2312" w:hAnsi="宋体" w:eastAsia="仿宋_GB2312" w:cs="宋体"/>
                <w:color w:val="auto"/>
                <w:spacing w:val="-20"/>
                <w:kern w:val="0"/>
                <w:szCs w:val="21"/>
                <w:lang w:val="en-US" w:eastAsia="zh-CN"/>
              </w:rPr>
              <w:t xml:space="preserve">非典型溶血性尿毒症  </w:t>
            </w:r>
            <w:r>
              <w:rPr>
                <w:rFonts w:hint="eastAsia" w:ascii="仿宋_GB2312" w:hAnsi="宋体" w:eastAsia="仿宋_GB2312" w:cs="宋体"/>
                <w:color w:val="auto"/>
                <w:spacing w:val="-20"/>
                <w:kern w:val="0"/>
                <w:szCs w:val="21"/>
              </w:rPr>
              <w:t>□</w:t>
            </w:r>
            <w:r>
              <w:rPr>
                <w:rFonts w:hint="eastAsia" w:ascii="仿宋_GB2312" w:hAnsi="宋体" w:eastAsia="仿宋_GB2312" w:cs="宋体"/>
                <w:color w:val="auto"/>
                <w:spacing w:val="-20"/>
                <w:kern w:val="0"/>
                <w:szCs w:val="21"/>
                <w:lang w:val="en-US" w:eastAsia="zh-CN"/>
              </w:rPr>
              <w:t xml:space="preserve">发作性睡病  </w:t>
            </w:r>
            <w:r>
              <w:rPr>
                <w:rFonts w:hint="eastAsia" w:ascii="仿宋_GB2312" w:hAnsi="宋体" w:eastAsia="仿宋_GB2312" w:cs="宋体"/>
                <w:color w:val="auto"/>
                <w:spacing w:val="-20"/>
                <w:kern w:val="0"/>
                <w:szCs w:val="21"/>
              </w:rPr>
              <w:t>□</w:t>
            </w:r>
            <w:r>
              <w:rPr>
                <w:rFonts w:hint="eastAsia" w:ascii="仿宋_GB2312" w:hAnsi="宋体" w:eastAsia="仿宋_GB2312" w:cs="宋体"/>
                <w:color w:val="auto"/>
                <w:spacing w:val="-20"/>
                <w:kern w:val="0"/>
                <w:szCs w:val="21"/>
                <w:lang w:val="en-US" w:eastAsia="zh-CN"/>
              </w:rPr>
              <w:t xml:space="preserve">低磷性佝偻病  </w:t>
            </w:r>
            <w:r>
              <w:rPr>
                <w:rFonts w:hint="eastAsia" w:ascii="仿宋_GB2312" w:hAnsi="宋体" w:eastAsia="仿宋_GB2312" w:cs="宋体"/>
                <w:color w:val="auto"/>
                <w:spacing w:val="-20"/>
                <w:kern w:val="0"/>
                <w:szCs w:val="21"/>
              </w:rPr>
              <w:t>□</w:t>
            </w:r>
            <w:r>
              <w:rPr>
                <w:rFonts w:hint="eastAsia" w:ascii="仿宋_GB2312" w:hAnsi="宋体" w:eastAsia="仿宋_GB2312" w:cs="宋体"/>
                <w:color w:val="auto"/>
                <w:spacing w:val="-20"/>
                <w:kern w:val="0"/>
                <w:szCs w:val="21"/>
                <w:lang w:val="en-US" w:eastAsia="zh-CN"/>
              </w:rPr>
              <w:t>短肠综合征</w:t>
            </w:r>
          </w:p>
          <w:p w14:paraId="3F940146">
            <w:pPr>
              <w:widowControl/>
              <w:jc w:val="left"/>
              <w:rPr>
                <w:rFonts w:hint="eastAsia" w:eastAsia="仿宋_GB2312"/>
                <w:color w:val="auto"/>
                <w:lang w:eastAsia="zh-CN"/>
              </w:rPr>
            </w:pPr>
            <w:r>
              <w:rPr>
                <w:rFonts w:hint="eastAsia" w:ascii="仿宋_GB2312" w:hAnsi="宋体" w:eastAsia="仿宋_GB2312" w:cs="宋体"/>
                <w:b/>
                <w:bCs/>
                <w:color w:val="auto"/>
                <w:spacing w:val="-20"/>
                <w:kern w:val="0"/>
                <w:szCs w:val="21"/>
              </w:rPr>
              <w:t>特殊慢性病</w:t>
            </w:r>
            <w:r>
              <w:rPr>
                <w:rFonts w:hint="eastAsia" w:ascii="仿宋_GB2312" w:hAnsi="宋体" w:eastAsia="仿宋_GB2312" w:cs="宋体"/>
                <w:color w:val="auto"/>
                <w:spacing w:val="-20"/>
                <w:kern w:val="0"/>
                <w:szCs w:val="21"/>
              </w:rPr>
              <w:t>：□肺动脉高压</w:t>
            </w:r>
            <w:r>
              <w:rPr>
                <w:rFonts w:hint="eastAsia" w:ascii="仿宋_GB2312" w:hAnsi="宋体" w:eastAsia="仿宋_GB2312" w:cs="宋体"/>
                <w:color w:val="auto"/>
                <w:spacing w:val="-20"/>
                <w:kern w:val="0"/>
                <w:szCs w:val="21"/>
                <w:lang w:val="en-US" w:eastAsia="zh-CN"/>
              </w:rPr>
              <w:t xml:space="preserve">  </w:t>
            </w:r>
            <w:r>
              <w:rPr>
                <w:rFonts w:hint="eastAsia" w:ascii="仿宋_GB2312" w:hAnsi="宋体" w:eastAsia="仿宋_GB2312" w:cs="宋体"/>
                <w:color w:val="auto"/>
                <w:spacing w:val="-20"/>
                <w:kern w:val="0"/>
                <w:szCs w:val="21"/>
              </w:rPr>
              <w:t>□特发性肺纤维化   □克罗恩病</w:t>
            </w:r>
            <w:r>
              <w:rPr>
                <w:rFonts w:hint="eastAsia" w:ascii="仿宋_GB2312" w:hAnsi="宋体" w:eastAsia="仿宋_GB2312" w:cs="宋体"/>
                <w:color w:val="auto"/>
                <w:spacing w:val="-20"/>
                <w:kern w:val="0"/>
                <w:szCs w:val="21"/>
                <w:lang w:val="en-US" w:eastAsia="zh-CN"/>
              </w:rPr>
              <w:t xml:space="preserve"> </w:t>
            </w:r>
            <w:r>
              <w:rPr>
                <w:rFonts w:hint="eastAsia" w:ascii="仿宋_GB2312" w:hAnsi="宋体" w:eastAsia="仿宋_GB2312" w:cs="宋体"/>
                <w:color w:val="auto"/>
                <w:spacing w:val="-20"/>
                <w:kern w:val="0"/>
                <w:szCs w:val="21"/>
              </w:rPr>
              <w:t xml:space="preserve"> 慢性肾衰竭（□尿毒症期□</w:t>
            </w:r>
            <w:r>
              <w:rPr>
                <w:rFonts w:hint="eastAsia" w:ascii="仿宋_GB2312" w:hAnsi="宋体" w:eastAsia="仿宋_GB2312" w:cs="宋体"/>
                <w:color w:val="auto"/>
                <w:spacing w:val="-20"/>
                <w:kern w:val="0"/>
                <w:szCs w:val="21"/>
                <w:lang w:eastAsia="zh-CN"/>
              </w:rPr>
              <w:t>连续透析</w:t>
            </w:r>
            <w:r>
              <w:rPr>
                <w:rFonts w:hint="eastAsia" w:ascii="仿宋_GB2312" w:hAnsi="宋体" w:eastAsia="仿宋_GB2312" w:cs="宋体"/>
                <w:color w:val="auto"/>
                <w:spacing w:val="-20"/>
                <w:kern w:val="0"/>
                <w:szCs w:val="21"/>
              </w:rPr>
              <w:t>□</w:t>
            </w:r>
            <w:r>
              <w:rPr>
                <w:rFonts w:hint="eastAsia" w:ascii="仿宋_GB2312" w:hAnsi="宋体" w:eastAsia="仿宋_GB2312" w:cs="宋体"/>
                <w:color w:val="auto"/>
                <w:spacing w:val="-20"/>
                <w:kern w:val="0"/>
                <w:szCs w:val="21"/>
                <w:lang w:eastAsia="zh-CN"/>
              </w:rPr>
              <w:t>非连续透析</w:t>
            </w:r>
            <w:r>
              <w:rPr>
                <w:rFonts w:hint="eastAsia" w:ascii="仿宋_GB2312" w:hAnsi="宋体" w:eastAsia="仿宋_GB2312" w:cs="宋体"/>
                <w:color w:val="auto"/>
                <w:spacing w:val="-20"/>
                <w:kern w:val="0"/>
                <w:szCs w:val="21"/>
              </w:rPr>
              <w:t>）   □肢端肥大症    □肝豆状核变性    □多发性硬化    □重度特应性皮炎     □耐药性结核病     □系统性红斑狼疮    □先天性免疫蛋白缺乏症    □生长激素缺乏症    □普拉德-威利综合征    □尼曼匹克病      □器官移植术后   □血友病  □特发性血小板减少性紫癜   □再生障碍性贫血   □骨髓增生异常综合征    □骨髓增生性疾病   □白血病    □恶性肿瘤</w:t>
            </w:r>
            <w:r>
              <w:rPr>
                <w:rFonts w:hint="eastAsia" w:ascii="仿宋_GB2312" w:hAnsi="宋体" w:eastAsia="仿宋_GB2312" w:cs="宋体"/>
                <w:color w:val="auto"/>
                <w:spacing w:val="-20"/>
                <w:kern w:val="0"/>
                <w:szCs w:val="21"/>
                <w:lang w:val="en-US" w:eastAsia="zh-CN"/>
              </w:rPr>
              <w:t xml:space="preserve"> </w:t>
            </w:r>
            <w:r>
              <w:rPr>
                <w:rFonts w:hint="eastAsia" w:ascii="仿宋_GB2312" w:hAnsi="宋体" w:eastAsia="仿宋_GB2312" w:cs="宋体"/>
                <w:color w:val="auto"/>
                <w:spacing w:val="-20"/>
                <w:kern w:val="0"/>
                <w:szCs w:val="21"/>
              </w:rPr>
              <w:t xml:space="preserve"> □</w:t>
            </w:r>
            <w:r>
              <w:rPr>
                <w:rFonts w:hint="eastAsia" w:ascii="仿宋_GB2312" w:hAnsi="宋体" w:eastAsia="仿宋_GB2312" w:cs="宋体"/>
                <w:color w:val="auto"/>
                <w:spacing w:val="-20"/>
                <w:kern w:val="0"/>
                <w:szCs w:val="21"/>
                <w:lang w:eastAsia="zh-CN"/>
              </w:rPr>
              <w:t>法布雷病</w:t>
            </w:r>
            <w:r>
              <w:rPr>
                <w:rFonts w:hint="eastAsia" w:ascii="仿宋_GB2312" w:hAnsi="宋体" w:eastAsia="仿宋_GB2312" w:cs="宋体"/>
                <w:color w:val="auto"/>
                <w:spacing w:val="-20"/>
                <w:kern w:val="0"/>
                <w:szCs w:val="21"/>
                <w:lang w:val="en-US" w:eastAsia="zh-CN"/>
              </w:rPr>
              <w:t xml:space="preserve"> </w:t>
            </w:r>
            <w:r>
              <w:rPr>
                <w:rFonts w:hint="eastAsia" w:ascii="仿宋_GB2312" w:hAnsi="宋体" w:eastAsia="仿宋_GB2312" w:cs="宋体"/>
                <w:color w:val="auto"/>
                <w:spacing w:val="-20"/>
                <w:kern w:val="0"/>
                <w:szCs w:val="21"/>
              </w:rPr>
              <w:t xml:space="preserve"> □甲状腺素蛋白淀粉样变性心肌病 </w:t>
            </w:r>
            <w:r>
              <w:rPr>
                <w:rFonts w:hint="eastAsia" w:ascii="仿宋_GB2312" w:hAnsi="宋体" w:eastAsia="仿宋_GB2312" w:cs="宋体"/>
                <w:color w:val="auto"/>
                <w:spacing w:val="-20"/>
                <w:kern w:val="0"/>
                <w:szCs w:val="21"/>
                <w:lang w:val="en-US" w:eastAsia="zh-CN"/>
              </w:rPr>
              <w:t xml:space="preserve"> </w:t>
            </w:r>
            <w:r>
              <w:rPr>
                <w:rFonts w:hint="eastAsia" w:ascii="仿宋_GB2312" w:hAnsi="宋体" w:eastAsia="仿宋_GB2312" w:cs="宋体"/>
                <w:color w:val="auto"/>
                <w:spacing w:val="-20"/>
                <w:kern w:val="0"/>
                <w:szCs w:val="21"/>
              </w:rPr>
              <w:t xml:space="preserve"> □亨廷顿舞蹈症 </w:t>
            </w:r>
            <w:r>
              <w:rPr>
                <w:rFonts w:hint="eastAsia" w:ascii="仿宋_GB2312" w:hAnsi="宋体" w:eastAsia="仿宋_GB2312" w:cs="宋体"/>
                <w:color w:val="auto"/>
                <w:spacing w:val="-20"/>
                <w:kern w:val="0"/>
                <w:szCs w:val="21"/>
                <w:lang w:val="en-US" w:eastAsia="zh-CN"/>
              </w:rPr>
              <w:t xml:space="preserve"> </w:t>
            </w:r>
            <w:r>
              <w:rPr>
                <w:rFonts w:hint="eastAsia" w:ascii="仿宋_GB2312" w:hAnsi="宋体" w:eastAsia="仿宋_GB2312" w:cs="宋体"/>
                <w:color w:val="auto"/>
                <w:spacing w:val="-20"/>
                <w:kern w:val="0"/>
                <w:szCs w:val="21"/>
              </w:rPr>
              <w:t xml:space="preserve"> □视神经脊髓炎 </w:t>
            </w:r>
            <w:r>
              <w:rPr>
                <w:rFonts w:hint="eastAsia" w:ascii="仿宋_GB2312" w:hAnsi="宋体" w:eastAsia="仿宋_GB2312" w:cs="宋体"/>
                <w:color w:val="auto"/>
                <w:spacing w:val="-20"/>
                <w:kern w:val="0"/>
                <w:szCs w:val="21"/>
                <w:lang w:val="en-US" w:eastAsia="zh-CN"/>
              </w:rPr>
              <w:t xml:space="preserve"> </w:t>
            </w:r>
            <w:r>
              <w:rPr>
                <w:rFonts w:hint="eastAsia" w:ascii="仿宋_GB2312" w:hAnsi="宋体" w:eastAsia="仿宋_GB2312" w:cs="宋体"/>
                <w:color w:val="auto"/>
                <w:spacing w:val="-20"/>
                <w:kern w:val="0"/>
                <w:szCs w:val="21"/>
              </w:rPr>
              <w:t xml:space="preserve"> □脊髓延髓肌萎缩症（肯尼迪病） </w:t>
            </w:r>
            <w:r>
              <w:rPr>
                <w:rFonts w:hint="eastAsia" w:ascii="仿宋_GB2312" w:hAnsi="宋体" w:eastAsia="仿宋_GB2312" w:cs="宋体"/>
                <w:color w:val="auto"/>
                <w:spacing w:val="-20"/>
                <w:kern w:val="0"/>
                <w:szCs w:val="21"/>
                <w:lang w:val="en-US" w:eastAsia="zh-CN"/>
              </w:rPr>
              <w:t xml:space="preserve"> </w:t>
            </w:r>
            <w:r>
              <w:rPr>
                <w:rFonts w:hint="eastAsia" w:ascii="仿宋_GB2312" w:hAnsi="宋体" w:eastAsia="仿宋_GB2312" w:cs="宋体"/>
                <w:color w:val="auto"/>
                <w:spacing w:val="-20"/>
                <w:kern w:val="0"/>
                <w:szCs w:val="21"/>
              </w:rPr>
              <w:t xml:space="preserve"> □遗传性血管性水肿 </w:t>
            </w:r>
            <w:r>
              <w:rPr>
                <w:rFonts w:hint="eastAsia" w:ascii="仿宋_GB2312" w:hAnsi="宋体" w:eastAsia="仿宋_GB2312" w:cs="宋体"/>
                <w:color w:val="auto"/>
                <w:spacing w:val="-20"/>
                <w:kern w:val="0"/>
                <w:szCs w:val="21"/>
                <w:lang w:val="en-US" w:eastAsia="zh-CN"/>
              </w:rPr>
              <w:t xml:space="preserve"> </w:t>
            </w:r>
            <w:r>
              <w:rPr>
                <w:rFonts w:hint="eastAsia" w:ascii="仿宋_GB2312" w:hAnsi="宋体" w:eastAsia="仿宋_GB2312" w:cs="宋体"/>
                <w:color w:val="auto"/>
                <w:spacing w:val="-20"/>
                <w:kern w:val="0"/>
                <w:szCs w:val="21"/>
              </w:rPr>
              <w:t xml:space="preserve"> □脊髓性肌萎缩症 </w:t>
            </w:r>
            <w:r>
              <w:rPr>
                <w:rFonts w:hint="eastAsia" w:ascii="仿宋_GB2312" w:hAnsi="宋体" w:eastAsia="仿宋_GB2312" w:cs="宋体"/>
                <w:color w:val="auto"/>
                <w:spacing w:val="-20"/>
                <w:kern w:val="0"/>
                <w:szCs w:val="21"/>
                <w:lang w:val="en-US" w:eastAsia="zh-CN"/>
              </w:rPr>
              <w:t xml:space="preserve"> </w:t>
            </w:r>
            <w:r>
              <w:rPr>
                <w:rFonts w:hint="eastAsia" w:ascii="仿宋_GB2312" w:hAnsi="宋体" w:eastAsia="仿宋_GB2312" w:cs="宋体"/>
                <w:color w:val="auto"/>
                <w:spacing w:val="-20"/>
                <w:kern w:val="0"/>
                <w:szCs w:val="21"/>
              </w:rPr>
              <w:t xml:space="preserve"> □β-地中海贫血 </w:t>
            </w:r>
            <w:r>
              <w:rPr>
                <w:rFonts w:hint="eastAsia" w:ascii="仿宋_GB2312" w:hAnsi="宋体" w:eastAsia="仿宋_GB2312" w:cs="宋体"/>
                <w:color w:val="auto"/>
                <w:spacing w:val="-20"/>
                <w:kern w:val="0"/>
                <w:szCs w:val="21"/>
                <w:lang w:val="en-US" w:eastAsia="zh-CN"/>
              </w:rPr>
              <w:t xml:space="preserve">  </w:t>
            </w:r>
            <w:r>
              <w:rPr>
                <w:rFonts w:hint="eastAsia" w:ascii="仿宋_GB2312" w:hAnsi="宋体" w:eastAsia="仿宋_GB2312" w:cs="宋体"/>
                <w:color w:val="auto"/>
                <w:spacing w:val="-20"/>
                <w:kern w:val="0"/>
                <w:szCs w:val="21"/>
              </w:rPr>
              <w:t xml:space="preserve"> □戈谢病 </w:t>
            </w:r>
            <w:r>
              <w:rPr>
                <w:rFonts w:hint="eastAsia" w:ascii="仿宋_GB2312" w:hAnsi="宋体" w:eastAsia="仿宋_GB2312" w:cs="宋体"/>
                <w:color w:val="auto"/>
                <w:spacing w:val="-20"/>
                <w:kern w:val="0"/>
                <w:szCs w:val="21"/>
                <w:lang w:val="en-US" w:eastAsia="zh-CN"/>
              </w:rPr>
              <w:t xml:space="preserve"> </w:t>
            </w:r>
            <w:r>
              <w:rPr>
                <w:rFonts w:hint="eastAsia" w:ascii="仿宋_GB2312" w:hAnsi="宋体" w:eastAsia="仿宋_GB2312" w:cs="宋体"/>
                <w:color w:val="auto"/>
                <w:spacing w:val="-20"/>
                <w:kern w:val="0"/>
                <w:szCs w:val="21"/>
              </w:rPr>
              <w:t xml:space="preserve"> □结节性硬化症 </w:t>
            </w:r>
            <w:r>
              <w:rPr>
                <w:rFonts w:hint="eastAsia" w:ascii="仿宋_GB2312" w:hAnsi="宋体" w:eastAsia="仿宋_GB2312" w:cs="宋体"/>
                <w:color w:val="auto"/>
                <w:spacing w:val="-20"/>
                <w:kern w:val="0"/>
                <w:szCs w:val="21"/>
                <w:lang w:val="en-US" w:eastAsia="zh-CN"/>
              </w:rPr>
              <w:t xml:space="preserve"> </w:t>
            </w:r>
            <w:r>
              <w:rPr>
                <w:rFonts w:hint="eastAsia" w:ascii="仿宋_GB2312" w:hAnsi="宋体" w:eastAsia="仿宋_GB2312" w:cs="宋体"/>
                <w:color w:val="auto"/>
                <w:spacing w:val="-20"/>
                <w:kern w:val="0"/>
                <w:szCs w:val="21"/>
              </w:rPr>
              <w:t xml:space="preserve"> □大动脉炎 </w:t>
            </w:r>
            <w:r>
              <w:rPr>
                <w:rFonts w:hint="eastAsia" w:ascii="仿宋_GB2312" w:hAnsi="宋体" w:eastAsia="仿宋_GB2312" w:cs="宋体"/>
                <w:color w:val="auto"/>
                <w:spacing w:val="-20"/>
                <w:kern w:val="0"/>
                <w:szCs w:val="21"/>
                <w:lang w:val="en-US" w:eastAsia="zh-CN"/>
              </w:rPr>
              <w:t xml:space="preserve"> </w:t>
            </w:r>
            <w:r>
              <w:rPr>
                <w:rFonts w:hint="eastAsia" w:ascii="仿宋_GB2312" w:hAnsi="宋体" w:eastAsia="仿宋_GB2312" w:cs="宋体"/>
                <w:color w:val="auto"/>
                <w:spacing w:val="-20"/>
                <w:kern w:val="0"/>
                <w:szCs w:val="21"/>
              </w:rPr>
              <w:t xml:space="preserve"> □进行性纤维化性</w:t>
            </w:r>
            <w:r>
              <w:rPr>
                <w:rFonts w:hint="eastAsia" w:ascii="仿宋_GB2312" w:hAnsi="宋体" w:eastAsia="仿宋_GB2312" w:cs="宋体"/>
                <w:color w:val="auto"/>
                <w:spacing w:val="-20"/>
                <w:kern w:val="0"/>
                <w:szCs w:val="21"/>
                <w:lang w:eastAsia="zh-CN"/>
              </w:rPr>
              <w:t>间质性肺疾病</w:t>
            </w:r>
          </w:p>
          <w:p w14:paraId="3CAB56D6">
            <w:pPr>
              <w:widowControl/>
              <w:jc w:val="center"/>
              <w:rPr>
                <w:color w:val="auto"/>
              </w:rPr>
            </w:pPr>
          </w:p>
          <w:p w14:paraId="5C956AD6">
            <w:pPr>
              <w:spacing w:line="560" w:lineRule="exact"/>
              <w:jc w:val="center"/>
              <w:rPr>
                <w:rFonts w:hint="eastAsia" w:ascii="仿宋_GB2312" w:hAnsi="宋体" w:eastAsia="仿宋_GB2312" w:cs="宋体"/>
                <w:color w:val="auto"/>
                <w:spacing w:val="-20"/>
                <w:kern w:val="0"/>
                <w:szCs w:val="21"/>
              </w:rPr>
            </w:pPr>
          </w:p>
          <w:p w14:paraId="10E2DBDE">
            <w:pPr>
              <w:widowControl/>
              <w:jc w:val="center"/>
              <w:rPr>
                <w:rFonts w:hint="eastAsia" w:ascii="仿宋_GB2312" w:eastAsia="仿宋_GB2312"/>
                <w:color w:val="auto"/>
                <w:sz w:val="24"/>
              </w:rPr>
            </w:pPr>
          </w:p>
        </w:tc>
      </w:tr>
      <w:tr w14:paraId="02415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exact"/>
        </w:trPr>
        <w:tc>
          <w:tcPr>
            <w:tcW w:w="838" w:type="pct"/>
            <w:gridSpan w:val="2"/>
            <w:noWrap w:val="0"/>
            <w:vAlign w:val="center"/>
          </w:tcPr>
          <w:p w14:paraId="2C6D189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color w:val="auto"/>
                <w:sz w:val="24"/>
              </w:rPr>
            </w:pPr>
            <w:r>
              <w:rPr>
                <w:rFonts w:hint="eastAsia" w:ascii="仿宋_GB2312" w:eastAsia="仿宋_GB2312"/>
                <w:color w:val="auto"/>
                <w:sz w:val="24"/>
                <w:lang w:eastAsia="zh-CN"/>
              </w:rPr>
              <w:t>医师意见</w:t>
            </w:r>
          </w:p>
        </w:tc>
        <w:tc>
          <w:tcPr>
            <w:tcW w:w="4161" w:type="pct"/>
            <w:gridSpan w:val="9"/>
            <w:noWrap w:val="0"/>
            <w:vAlign w:val="center"/>
          </w:tcPr>
          <w:p w14:paraId="2308F188">
            <w:pPr>
              <w:jc w:val="both"/>
              <w:rPr>
                <w:rFonts w:hint="eastAsia" w:ascii="仿宋_GB2312" w:eastAsia="仿宋_GB2312"/>
                <w:color w:val="auto"/>
                <w:sz w:val="24"/>
              </w:rPr>
            </w:pPr>
            <w:r>
              <w:rPr>
                <w:rFonts w:hint="eastAsia" w:ascii="仿宋_GB2312" w:eastAsia="仿宋_GB2312"/>
                <w:color w:val="auto"/>
                <w:sz w:val="24"/>
              </w:rPr>
              <w:t>认定慢</w:t>
            </w:r>
            <w:r>
              <w:rPr>
                <w:rFonts w:hint="eastAsia" w:ascii="仿宋_GB2312" w:eastAsia="仿宋_GB2312"/>
                <w:color w:val="auto"/>
                <w:sz w:val="24"/>
                <w:highlight w:val="none"/>
                <w:lang w:eastAsia="zh-CN"/>
              </w:rPr>
              <w:t>特</w:t>
            </w:r>
            <w:r>
              <w:rPr>
                <w:rFonts w:hint="eastAsia" w:ascii="仿宋_GB2312" w:eastAsia="仿宋_GB2312"/>
                <w:color w:val="auto"/>
                <w:sz w:val="24"/>
              </w:rPr>
              <w:t>病名称：</w:t>
            </w:r>
          </w:p>
          <w:p w14:paraId="5006C70F">
            <w:pPr>
              <w:jc w:val="both"/>
              <w:rPr>
                <w:rFonts w:hint="eastAsia" w:ascii="仿宋_GB2312" w:eastAsia="仿宋_GB2312"/>
                <w:color w:val="auto"/>
                <w:sz w:val="24"/>
              </w:rPr>
            </w:pPr>
            <w:r>
              <w:rPr>
                <w:rFonts w:hint="eastAsia" w:ascii="仿宋_GB2312" w:eastAsia="仿宋_GB2312"/>
                <w:color w:val="auto"/>
                <w:sz w:val="24"/>
              </w:rPr>
              <w:t>确认依据：</w:t>
            </w:r>
          </w:p>
          <w:p w14:paraId="1FF22D00">
            <w:pPr>
              <w:jc w:val="center"/>
              <w:rPr>
                <w:rFonts w:hint="eastAsia" w:ascii="仿宋_GB2312" w:eastAsia="仿宋_GB2312"/>
                <w:color w:val="auto"/>
                <w:sz w:val="24"/>
              </w:rPr>
            </w:pPr>
            <w:r>
              <w:rPr>
                <w:rFonts w:hint="eastAsia" w:ascii="仿宋_GB2312" w:eastAsia="仿宋_GB2312"/>
                <w:color w:val="auto"/>
                <w:sz w:val="24"/>
              </w:rPr>
              <w:t>科别：                  （副）主任医师签字：</w:t>
            </w:r>
          </w:p>
          <w:p w14:paraId="731877F8">
            <w:pPr>
              <w:widowControl/>
              <w:jc w:val="right"/>
              <w:rPr>
                <w:rFonts w:hint="eastAsia" w:ascii="仿宋_GB2312" w:eastAsia="仿宋_GB2312"/>
                <w:color w:val="auto"/>
                <w:sz w:val="24"/>
              </w:rPr>
            </w:pPr>
            <w:r>
              <w:rPr>
                <w:rFonts w:hint="eastAsia" w:ascii="仿宋_GB2312" w:eastAsia="仿宋_GB2312"/>
                <w:color w:val="auto"/>
                <w:sz w:val="24"/>
              </w:rPr>
              <w:t>年　　月　　日</w:t>
            </w:r>
          </w:p>
        </w:tc>
      </w:tr>
      <w:tr w14:paraId="73CB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38" w:type="pct"/>
            <w:gridSpan w:val="2"/>
            <w:noWrap w:val="0"/>
            <w:vAlign w:val="center"/>
          </w:tcPr>
          <w:p w14:paraId="08ECC3F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eastAsia="仿宋_GB2312"/>
                <w:color w:val="auto"/>
                <w:sz w:val="24"/>
              </w:rPr>
            </w:pPr>
            <w:r>
              <w:rPr>
                <w:rFonts w:hint="eastAsia" w:ascii="仿宋_GB2312" w:eastAsia="仿宋_GB2312"/>
                <w:color w:val="auto"/>
                <w:sz w:val="24"/>
              </w:rPr>
              <w:t>医保办意见</w:t>
            </w:r>
          </w:p>
        </w:tc>
        <w:tc>
          <w:tcPr>
            <w:tcW w:w="1727" w:type="pct"/>
            <w:gridSpan w:val="4"/>
            <w:noWrap w:val="0"/>
            <w:vAlign w:val="center"/>
          </w:tcPr>
          <w:p w14:paraId="34E0297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eastAsia="仿宋_GB2312"/>
                <w:color w:val="auto"/>
                <w:sz w:val="24"/>
              </w:rPr>
            </w:pPr>
          </w:p>
        </w:tc>
        <w:tc>
          <w:tcPr>
            <w:tcW w:w="937" w:type="pct"/>
            <w:gridSpan w:val="3"/>
            <w:noWrap w:val="0"/>
            <w:vAlign w:val="center"/>
          </w:tcPr>
          <w:p w14:paraId="6626CA2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eastAsia="仿宋_GB2312"/>
                <w:color w:val="auto"/>
                <w:sz w:val="24"/>
              </w:rPr>
            </w:pPr>
            <w:r>
              <w:rPr>
                <w:rFonts w:hint="eastAsia" w:ascii="仿宋_GB2312" w:eastAsia="仿宋_GB2312"/>
                <w:color w:val="auto"/>
                <w:sz w:val="24"/>
              </w:rPr>
              <w:t>专家组意见</w:t>
            </w:r>
          </w:p>
        </w:tc>
        <w:tc>
          <w:tcPr>
            <w:tcW w:w="1496" w:type="pct"/>
            <w:gridSpan w:val="2"/>
            <w:noWrap w:val="0"/>
            <w:vAlign w:val="center"/>
          </w:tcPr>
          <w:p w14:paraId="091C05C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eastAsia="仿宋_GB2312"/>
                <w:color w:val="auto"/>
                <w:sz w:val="24"/>
              </w:rPr>
            </w:pPr>
          </w:p>
        </w:tc>
      </w:tr>
      <w:tr w14:paraId="711F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38" w:type="pct"/>
            <w:gridSpan w:val="2"/>
            <w:noWrap w:val="0"/>
            <w:vAlign w:val="center"/>
          </w:tcPr>
          <w:p w14:paraId="0329BA7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color w:val="auto"/>
                <w:sz w:val="24"/>
                <w:lang w:eastAsia="zh-CN"/>
              </w:rPr>
            </w:pPr>
            <w:r>
              <w:rPr>
                <w:rFonts w:hint="eastAsia" w:ascii="仿宋_GB2312" w:eastAsia="仿宋_GB2312"/>
                <w:color w:val="auto"/>
                <w:sz w:val="24"/>
                <w:lang w:eastAsia="zh-CN"/>
              </w:rPr>
              <w:t>经办人</w:t>
            </w:r>
          </w:p>
        </w:tc>
        <w:tc>
          <w:tcPr>
            <w:tcW w:w="4161" w:type="pct"/>
            <w:gridSpan w:val="9"/>
            <w:noWrap w:val="0"/>
            <w:vAlign w:val="center"/>
          </w:tcPr>
          <w:p w14:paraId="6628EC6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eastAsia="仿宋_GB2312"/>
                <w:color w:val="auto"/>
                <w:sz w:val="24"/>
              </w:rPr>
            </w:pPr>
          </w:p>
        </w:tc>
      </w:tr>
    </w:tbl>
    <w:p w14:paraId="4A5D176F">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auto"/>
          <w:sz w:val="18"/>
          <w:szCs w:val="18"/>
          <w:lang w:eastAsia="zh-CN"/>
        </w:rPr>
      </w:pPr>
      <w:r>
        <w:rPr>
          <w:rFonts w:hint="eastAsia" w:ascii="方正仿宋_GBK" w:hAnsi="方正仿宋_GBK" w:eastAsia="方正仿宋_GBK" w:cs="方正仿宋_GBK"/>
          <w:color w:val="auto"/>
          <w:sz w:val="18"/>
          <w:szCs w:val="18"/>
        </w:rPr>
        <w:t>说明：1、</w:t>
      </w:r>
      <w:r>
        <w:rPr>
          <w:rFonts w:hint="eastAsia" w:ascii="方正仿宋_GBK" w:hAnsi="方正仿宋_GBK" w:eastAsia="方正仿宋_GBK" w:cs="方正仿宋_GBK"/>
          <w:color w:val="auto"/>
          <w:sz w:val="18"/>
          <w:szCs w:val="18"/>
          <w:lang w:eastAsia="zh-CN"/>
        </w:rPr>
        <w:t>门诊慢特病办理流程：</w:t>
      </w:r>
      <w:r>
        <w:rPr>
          <w:rFonts w:hint="eastAsia" w:ascii="方正仿宋_GBK" w:hAnsi="方正仿宋_GBK" w:eastAsia="方正仿宋_GBK" w:cs="方正仿宋_GBK"/>
          <w:color w:val="auto"/>
          <w:sz w:val="18"/>
          <w:szCs w:val="18"/>
        </w:rPr>
        <w:t>医师填写——医院医保办初审——专家组审核</w:t>
      </w:r>
      <w:r>
        <w:rPr>
          <w:rFonts w:hint="eastAsia" w:ascii="方正仿宋_GBK" w:hAnsi="方正仿宋_GBK" w:eastAsia="方正仿宋_GBK" w:cs="方正仿宋_GBK"/>
          <w:color w:val="auto"/>
          <w:sz w:val="18"/>
          <w:szCs w:val="18"/>
          <w:lang w:eastAsia="zh-CN"/>
        </w:rPr>
        <w:t>——医院录入；</w:t>
      </w:r>
    </w:p>
    <w:p w14:paraId="47D1E69A">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auto"/>
          <w:sz w:val="18"/>
          <w:szCs w:val="18"/>
          <w:lang w:eastAsia="zh-CN"/>
        </w:rPr>
      </w:pPr>
      <w:r>
        <w:rPr>
          <w:rFonts w:hint="eastAsia" w:ascii="方正仿宋_GBK" w:hAnsi="方正仿宋_GBK" w:eastAsia="方正仿宋_GBK" w:cs="方正仿宋_GBK"/>
          <w:color w:val="auto"/>
          <w:sz w:val="18"/>
          <w:szCs w:val="18"/>
          <w:lang w:val="en-US" w:eastAsia="zh-CN"/>
        </w:rPr>
        <w:t>2、</w:t>
      </w:r>
      <w:r>
        <w:rPr>
          <w:rFonts w:hint="eastAsia" w:ascii="方正仿宋_GBK" w:hAnsi="方正仿宋_GBK" w:eastAsia="方正仿宋_GBK" w:cs="方正仿宋_GBK"/>
          <w:color w:val="auto"/>
          <w:sz w:val="18"/>
          <w:szCs w:val="18"/>
        </w:rPr>
        <w:t>参保人员进行准入认定及申报送件时需携带此表，并附与申请病种相关住院或门诊病历、相关购药发票、相关检查报告单、社会保障卡原件。专科疾病需到市属相应专科医院进行认定。患两种及两种以上</w:t>
      </w:r>
      <w:r>
        <w:rPr>
          <w:rFonts w:hint="eastAsia" w:ascii="方正仿宋_GBK" w:hAnsi="方正仿宋_GBK" w:eastAsia="方正仿宋_GBK" w:cs="方正仿宋_GBK"/>
          <w:color w:val="auto"/>
          <w:sz w:val="18"/>
          <w:szCs w:val="18"/>
          <w:lang w:eastAsia="zh-CN"/>
        </w:rPr>
        <w:t>慢特病</w:t>
      </w:r>
      <w:r>
        <w:rPr>
          <w:rFonts w:hint="eastAsia" w:ascii="方正仿宋_GBK" w:hAnsi="方正仿宋_GBK" w:eastAsia="方正仿宋_GBK" w:cs="方正仿宋_GBK"/>
          <w:color w:val="auto"/>
          <w:sz w:val="18"/>
          <w:szCs w:val="18"/>
        </w:rPr>
        <w:t>需</w:t>
      </w:r>
      <w:r>
        <w:rPr>
          <w:rFonts w:hint="eastAsia" w:ascii="方正仿宋_GBK" w:hAnsi="方正仿宋_GBK" w:eastAsia="方正仿宋_GBK" w:cs="方正仿宋_GBK"/>
          <w:color w:val="auto"/>
          <w:sz w:val="18"/>
          <w:szCs w:val="18"/>
          <w:lang w:eastAsia="zh-CN"/>
        </w:rPr>
        <w:t>分别进行准入认定。</w:t>
      </w:r>
    </w:p>
    <w:p w14:paraId="405EB7A3">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方正仿宋_GBK" w:hAnsi="方正仿宋_GBK" w:eastAsia="方正仿宋_GBK" w:cs="方正仿宋_GBK"/>
          <w:color w:val="auto"/>
          <w:kern w:val="0"/>
          <w:sz w:val="30"/>
          <w:szCs w:val="30"/>
          <w:lang w:val="en-US" w:eastAsia="zh-CN"/>
        </w:rPr>
      </w:pPr>
      <w:r>
        <w:rPr>
          <w:rFonts w:hint="eastAsia" w:ascii="方正仿宋_GBK" w:hAnsi="方正仿宋_GBK" w:eastAsia="方正仿宋_GBK" w:cs="方正仿宋_GBK"/>
          <w:color w:val="auto"/>
          <w:sz w:val="18"/>
          <w:szCs w:val="18"/>
          <w:lang w:val="en-US" w:eastAsia="zh-CN"/>
        </w:rPr>
        <w:t>3</w:t>
      </w:r>
      <w:r>
        <w:rPr>
          <w:rFonts w:hint="eastAsia" w:ascii="方正仿宋_GBK" w:hAnsi="方正仿宋_GBK" w:eastAsia="方正仿宋_GBK" w:cs="方正仿宋_GBK"/>
          <w:color w:val="auto"/>
          <w:sz w:val="18"/>
          <w:szCs w:val="18"/>
          <w:lang w:eastAsia="zh-CN"/>
        </w:rPr>
        <w:t>、慢特病审核通过之后参保人直接持有效医疗保障凭证（医保电子</w:t>
      </w:r>
      <w:r>
        <w:rPr>
          <w:rFonts w:hint="eastAsia" w:ascii="方正仿宋_GBK" w:hAnsi="方正仿宋_GBK" w:eastAsia="方正仿宋_GBK" w:cs="方正仿宋_GBK"/>
          <w:color w:val="auto"/>
          <w:sz w:val="18"/>
          <w:szCs w:val="18"/>
        </w:rPr>
        <w:t>凭证或社会保障卡等）在选定的定点医药机构就医结算，直接享受门诊</w:t>
      </w:r>
      <w:r>
        <w:rPr>
          <w:rFonts w:hint="eastAsia" w:ascii="方正仿宋_GBK" w:hAnsi="方正仿宋_GBK" w:eastAsia="方正仿宋_GBK" w:cs="方正仿宋_GBK"/>
          <w:color w:val="auto"/>
          <w:sz w:val="18"/>
          <w:szCs w:val="18"/>
          <w:lang w:eastAsia="zh-CN"/>
        </w:rPr>
        <w:t>慢特</w:t>
      </w:r>
      <w:r>
        <w:rPr>
          <w:rFonts w:hint="eastAsia" w:ascii="方正仿宋_GBK" w:hAnsi="方正仿宋_GBK" w:eastAsia="方正仿宋_GBK" w:cs="方正仿宋_GBK"/>
          <w:color w:val="auto"/>
          <w:sz w:val="18"/>
          <w:szCs w:val="18"/>
        </w:rPr>
        <w:t>病待遇。</w:t>
      </w:r>
      <w:r>
        <w:rPr>
          <w:rFonts w:hint="eastAsia" w:ascii="方正仿宋_GBK" w:hAnsi="方正仿宋_GBK" w:eastAsia="方正仿宋_GBK" w:cs="方正仿宋_GBK"/>
          <w:color w:val="auto"/>
          <w:sz w:val="18"/>
          <w:szCs w:val="18"/>
          <w:lang w:eastAsia="zh-CN"/>
        </w:rPr>
        <w:t>此表一式两份，定点医疗机构和参保人各执一份。</w:t>
      </w:r>
    </w:p>
    <w:p w14:paraId="050DCFAD">
      <w:pPr>
        <w:numPr>
          <w:ilvl w:val="0"/>
          <w:numId w:val="0"/>
        </w:numPr>
        <w:jc w:val="both"/>
        <w:rPr>
          <w:rFonts w:hint="eastAsia" w:ascii="方正仿宋_GBK" w:hAnsi="方正仿宋_GBK" w:eastAsia="方正仿宋_GBK" w:cs="方正仿宋_GBK"/>
          <w:color w:val="auto"/>
          <w:kern w:val="0"/>
          <w:sz w:val="30"/>
          <w:szCs w:val="30"/>
          <w:lang w:val="en-US" w:eastAsia="zh-CN"/>
        </w:rPr>
      </w:pPr>
    </w:p>
    <w:p w14:paraId="2A1ED9CD">
      <w:pPr>
        <w:numPr>
          <w:ilvl w:val="0"/>
          <w:numId w:val="0"/>
        </w:numPr>
        <w:jc w:val="both"/>
        <w:rPr>
          <w:rFonts w:hint="eastAsia" w:ascii="方正仿宋_GBK" w:hAnsi="方正仿宋_GBK" w:eastAsia="方正仿宋_GBK" w:cs="方正仿宋_GBK"/>
          <w:color w:val="auto"/>
          <w:kern w:val="0"/>
          <w:sz w:val="30"/>
          <w:szCs w:val="30"/>
          <w:lang w:val="en-US" w:eastAsia="zh-CN"/>
        </w:rPr>
      </w:pPr>
      <w:r>
        <w:rPr>
          <w:rFonts w:hint="eastAsia" w:ascii="方正仿宋_GBK" w:hAnsi="方正仿宋_GBK" w:eastAsia="方正仿宋_GBK" w:cs="方正仿宋_GBK"/>
          <w:color w:val="auto"/>
          <w:kern w:val="0"/>
          <w:sz w:val="30"/>
          <w:szCs w:val="30"/>
          <w:lang w:val="en-US" w:eastAsia="zh-CN"/>
        </w:rPr>
        <w:t>附件2</w:t>
      </w:r>
      <w:r>
        <w:rPr>
          <w:rFonts w:hint="eastAsia" w:ascii="方正仿宋_GBK" w:hAnsi="方正仿宋_GBK" w:eastAsia="方正仿宋_GBK" w:cs="方正仿宋_GBK"/>
          <w:color w:val="auto"/>
          <w:kern w:val="0"/>
          <w:sz w:val="30"/>
          <w:szCs w:val="30"/>
          <w:highlight w:val="none"/>
          <w:lang w:val="en-US" w:eastAsia="zh-CN"/>
        </w:rPr>
        <w:t>：</w:t>
      </w:r>
      <w:r>
        <w:rPr>
          <w:rFonts w:hint="eastAsia" w:ascii="仿宋" w:hAnsi="仿宋" w:eastAsia="仿宋" w:cs="仿宋"/>
          <w:color w:val="auto"/>
          <w:sz w:val="32"/>
          <w:szCs w:val="32"/>
          <w:lang w:val="en-US" w:eastAsia="zh-CN"/>
        </w:rPr>
        <w:t>门诊慢特病准入认定标准</w:t>
      </w:r>
    </w:p>
    <w:p w14:paraId="7D28529A">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一、高血压</w:t>
      </w:r>
      <w:r>
        <w:rPr>
          <w:rFonts w:hint="eastAsia" w:ascii="仿宋" w:hAnsi="仿宋" w:eastAsia="仿宋" w:cs="仿宋"/>
          <w:b w:val="0"/>
          <w:bCs w:val="0"/>
          <w:color w:val="auto"/>
          <w:sz w:val="32"/>
          <w:szCs w:val="32"/>
          <w:lang w:val="en-US" w:eastAsia="zh-CN"/>
        </w:rPr>
        <w:t xml:space="preserve"> </w:t>
      </w:r>
    </w:p>
    <w:p w14:paraId="733D1DC1">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经二级以上定点医疗机构住院或者门诊确诊，需要长期药物治疗。门诊确诊需提供近半年内至少两次非同日门诊病历及用药记录(两次需间隔≥28天)，住院确诊需提供当次出院小结及用药记录(即医疗发票及当期合规处方)。</w:t>
      </w:r>
    </w:p>
    <w:p w14:paraId="5FB2B2C0">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经二级及以上医院住院确诊(或当地最高级别医疗机构疾病门诊诊断证明)，并合并有心(心肌梗死、充血性心力衰竭)、脑(脑出血、脑梗死、腔隙性脑梗死)、肾(血肌酐&gt;125μmol/L、肾移植术后、肾透析)或视网膜病变(出血或渗出或视乳头水肿)并发症其中之一。</w:t>
      </w:r>
    </w:p>
    <w:p w14:paraId="73985748">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符合条件1或条件2，均可被认定为高血压</w:t>
      </w:r>
      <w:r>
        <w:rPr>
          <w:rFonts w:hint="default" w:ascii="仿宋" w:hAnsi="仿宋" w:eastAsia="仿宋" w:cs="仿宋"/>
          <w:b w:val="0"/>
          <w:bCs w:val="0"/>
          <w:color w:val="auto"/>
          <w:sz w:val="32"/>
          <w:szCs w:val="32"/>
          <w:lang w:val="en-US" w:eastAsia="zh-CN"/>
        </w:rPr>
        <w:t xml:space="preserve">。 </w:t>
      </w:r>
    </w:p>
    <w:p w14:paraId="32869421">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default" w:ascii="仿宋" w:hAnsi="仿宋" w:eastAsia="仿宋" w:cs="仿宋"/>
          <w:b/>
          <w:bCs/>
          <w:color w:val="auto"/>
          <w:sz w:val="32"/>
          <w:szCs w:val="32"/>
          <w:lang w:val="en-US" w:eastAsia="zh-CN"/>
        </w:rPr>
        <w:t xml:space="preserve">二、冠心病 </w:t>
      </w:r>
    </w:p>
    <w:p w14:paraId="23C162DA">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经二级及以上医院确诊，并符合下列情况之一： </w:t>
      </w:r>
    </w:p>
    <w:p w14:paraId="6C5CDDA6">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1．心电图、24小时动态心电图、心脏负荷试验或心肌损伤标志物（心肌酶谱或肌钙蛋白）检查，符合冠心病特征的； </w:t>
      </w:r>
    </w:p>
    <w:p w14:paraId="7C7BC79D">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2．典型临床表现，结合心电图符合急性心肌梗死特征，或经冠脉造影/冠脉 CTA检查显示冠状动脉主干或其主要分支直径狭窄≥50%。 </w:t>
      </w:r>
    </w:p>
    <w:p w14:paraId="0291A562">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default" w:ascii="仿宋" w:hAnsi="仿宋" w:eastAsia="仿宋" w:cs="仿宋"/>
          <w:b/>
          <w:bCs/>
          <w:color w:val="auto"/>
          <w:sz w:val="32"/>
          <w:szCs w:val="32"/>
          <w:lang w:val="en-US" w:eastAsia="zh-CN"/>
        </w:rPr>
        <w:t xml:space="preserve">三、心功能不全 </w:t>
      </w:r>
    </w:p>
    <w:p w14:paraId="45F61EB8">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行 CRT/CRT-D/ICD心脏起搏器植入术后，或下列三条中符合两条的： </w:t>
      </w:r>
    </w:p>
    <w:p w14:paraId="42BDD2F8">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1．有器质性心脏病/心肌病病史，经二级及以上医疗机构住院确诊为心功能</w:t>
      </w:r>
      <w:r>
        <w:rPr>
          <w:rFonts w:hint="eastAsia" w:ascii="仿宋" w:hAnsi="仿宋" w:eastAsia="仿宋" w:cs="仿宋"/>
          <w:b w:val="0"/>
          <w:bCs w:val="0"/>
          <w:color w:val="auto"/>
          <w:sz w:val="32"/>
          <w:szCs w:val="32"/>
          <w:lang w:val="en-US" w:eastAsia="zh-CN"/>
        </w:rPr>
        <w:t>Ⅲ</w:t>
      </w:r>
      <w:r>
        <w:rPr>
          <w:rFonts w:hint="default"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lang w:val="en-US" w:eastAsia="zh-CN"/>
        </w:rPr>
        <w:t>Ⅳ</w:t>
      </w:r>
      <w:r>
        <w:rPr>
          <w:rFonts w:hint="default" w:ascii="仿宋" w:hAnsi="仿宋" w:eastAsia="仿宋" w:cs="仿宋"/>
          <w:b w:val="0"/>
          <w:bCs w:val="0"/>
          <w:color w:val="auto"/>
          <w:sz w:val="32"/>
          <w:szCs w:val="32"/>
          <w:lang w:val="en-US" w:eastAsia="zh-CN"/>
        </w:rPr>
        <w:t xml:space="preserve">级； </w:t>
      </w:r>
    </w:p>
    <w:p w14:paraId="30F264EF">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2．心脏超声检查证实左室舒张末期内径（LVDd）男＞55mm、女＞53mm和/或左室射血分数（LVEF）＜50％； </w:t>
      </w:r>
    </w:p>
    <w:p w14:paraId="095F5ACF">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3．BNP或 NT-pro-BNP检查升高。 </w:t>
      </w:r>
    </w:p>
    <w:p w14:paraId="0BAE07C1">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default" w:ascii="仿宋" w:hAnsi="仿宋" w:eastAsia="仿宋" w:cs="仿宋"/>
          <w:b/>
          <w:bCs/>
          <w:color w:val="auto"/>
          <w:sz w:val="32"/>
          <w:szCs w:val="32"/>
          <w:lang w:val="en-US" w:eastAsia="zh-CN"/>
        </w:rPr>
        <w:t xml:space="preserve">四、慢性阻塞性肺疾病 </w:t>
      </w:r>
    </w:p>
    <w:p w14:paraId="4FA5E2AE">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经二级及以上住院确诊，并符合下列条件： </w:t>
      </w:r>
    </w:p>
    <w:p w14:paraId="1399A28E">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1．肺功能检查：吸入支气管舒张剂后 FEV1/FVC＜0.70； </w:t>
      </w:r>
    </w:p>
    <w:p w14:paraId="1524CEDC">
      <w:pPr>
        <w:keepNext w:val="0"/>
        <w:keepLines w:val="0"/>
        <w:pageBreakBefore w:val="0"/>
        <w:kinsoku/>
        <w:wordWrap/>
        <w:overflowPunct/>
        <w:topLinePunct w:val="0"/>
        <w:autoSpaceDE/>
        <w:autoSpaceDN/>
        <w:bidi w:val="0"/>
        <w:adjustRightInd/>
        <w:spacing w:line="540" w:lineRule="exact"/>
        <w:ind w:firstLine="640" w:firstLineChars="200"/>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2．胸部 X线检查或胸部 CT检查相关诊断报告。</w:t>
      </w:r>
    </w:p>
    <w:p w14:paraId="28134CD2">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default" w:ascii="仿宋" w:hAnsi="仿宋" w:eastAsia="仿宋" w:cs="仿宋"/>
          <w:b/>
          <w:bCs/>
          <w:color w:val="auto"/>
          <w:sz w:val="32"/>
          <w:szCs w:val="32"/>
          <w:lang w:val="en-US" w:eastAsia="zh-CN"/>
        </w:rPr>
        <w:t xml:space="preserve">五、支气管哮喘 </w:t>
      </w:r>
    </w:p>
    <w:p w14:paraId="0D65E84A">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反复发作喘息、气急、胸闷或咳嗽，抗过敏、解痉、平喘等药物有明显疗效，经二级及以上住院确诊，并符合下列情况之一： </w:t>
      </w:r>
    </w:p>
    <w:p w14:paraId="5C210E7E">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1．支气管激发试验或舒张试验阳性； </w:t>
      </w:r>
    </w:p>
    <w:p w14:paraId="6ADDD14A">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2．昼夜 PEF变异率≥20%； </w:t>
      </w:r>
    </w:p>
    <w:p w14:paraId="66E7E6A5">
      <w:pPr>
        <w:keepNext w:val="0"/>
        <w:keepLines w:val="0"/>
        <w:pageBreakBefore w:val="0"/>
        <w:kinsoku/>
        <w:wordWrap/>
        <w:overflowPunct/>
        <w:topLinePunct w:val="0"/>
        <w:autoSpaceDE/>
        <w:autoSpaceDN/>
        <w:bidi w:val="0"/>
        <w:adjustRightInd/>
        <w:spacing w:line="540" w:lineRule="exact"/>
        <w:ind w:firstLine="640" w:firstLineChars="200"/>
        <w:rPr>
          <w:rFonts w:hint="eastAsia"/>
          <w:lang w:val="en-US" w:eastAsia="zh-CN"/>
        </w:rPr>
      </w:pPr>
      <w:r>
        <w:rPr>
          <w:rFonts w:hint="default" w:ascii="仿宋" w:hAnsi="仿宋" w:eastAsia="仿宋" w:cs="仿宋"/>
          <w:b w:val="0"/>
          <w:bCs w:val="0"/>
          <w:color w:val="auto"/>
          <w:sz w:val="32"/>
          <w:szCs w:val="32"/>
          <w:lang w:val="en-US" w:eastAsia="zh-CN"/>
        </w:rPr>
        <w:t xml:space="preserve">3．发作时血液检查嗜酸粒细胞增高。 </w:t>
      </w:r>
    </w:p>
    <w:p w14:paraId="4F6EC21C">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default" w:ascii="仿宋" w:hAnsi="仿宋" w:eastAsia="仿宋" w:cs="仿宋"/>
          <w:b/>
          <w:bCs/>
          <w:color w:val="auto"/>
          <w:sz w:val="32"/>
          <w:szCs w:val="32"/>
          <w:lang w:val="en-US" w:eastAsia="zh-CN"/>
        </w:rPr>
        <w:t>六、</w:t>
      </w:r>
      <w:r>
        <w:rPr>
          <w:rFonts w:hint="eastAsia" w:ascii="仿宋" w:hAnsi="仿宋" w:eastAsia="仿宋" w:cs="仿宋"/>
          <w:b/>
          <w:bCs/>
          <w:color w:val="auto"/>
          <w:sz w:val="32"/>
          <w:szCs w:val="32"/>
          <w:lang w:val="en-US" w:eastAsia="zh-CN"/>
        </w:rPr>
        <w:t>溃疡性结肠炎</w:t>
      </w:r>
    </w:p>
    <w:p w14:paraId="41842365">
      <w:pPr>
        <w:keepNext w:val="0"/>
        <w:keepLines w:val="0"/>
        <w:pageBreakBefore w:val="0"/>
        <w:kinsoku/>
        <w:wordWrap/>
        <w:overflowPunct/>
        <w:topLinePunct w:val="0"/>
        <w:autoSpaceDE/>
        <w:autoSpaceDN/>
        <w:bidi w:val="0"/>
        <w:adjustRightInd/>
        <w:spacing w:line="540" w:lineRule="exact"/>
        <w:ind w:firstLine="640" w:firstLineChars="200"/>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有溃疡性结肠炎的临床表现，经三级医院或当地最高级别医院综合检查后确诊。需提供肠镜、病理及影像学的相关检查报告。</w:t>
      </w:r>
    </w:p>
    <w:p w14:paraId="69307C98">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七</w:t>
      </w:r>
      <w:r>
        <w:rPr>
          <w:rFonts w:hint="default" w:ascii="仿宋" w:hAnsi="仿宋" w:eastAsia="仿宋" w:cs="仿宋"/>
          <w:b/>
          <w:bCs/>
          <w:color w:val="auto"/>
          <w:sz w:val="32"/>
          <w:szCs w:val="32"/>
          <w:lang w:val="en-US" w:eastAsia="zh-CN"/>
        </w:rPr>
        <w:t xml:space="preserve">、晚期血吸虫病 </w:t>
      </w:r>
    </w:p>
    <w:p w14:paraId="2B9F9452">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1．有血吸虫病疫水或疫区接触、生活史； </w:t>
      </w:r>
    </w:p>
    <w:p w14:paraId="7C163AD0">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2．存在肝硬化的临床症状、体征或影像学依据，或存在血吸虫病引起的胃肠道症状或体征； </w:t>
      </w:r>
    </w:p>
    <w:p w14:paraId="2A10AC24">
      <w:pPr>
        <w:keepNext w:val="0"/>
        <w:keepLines w:val="0"/>
        <w:pageBreakBefore w:val="0"/>
        <w:kinsoku/>
        <w:wordWrap/>
        <w:overflowPunct/>
        <w:topLinePunct w:val="0"/>
        <w:autoSpaceDE/>
        <w:autoSpaceDN/>
        <w:bidi w:val="0"/>
        <w:adjustRightInd/>
        <w:spacing w:line="540" w:lineRule="exact"/>
        <w:ind w:firstLine="640" w:firstLineChars="200"/>
        <w:rPr>
          <w:rFonts w:hint="default" w:ascii="仿宋" w:hAnsi="仿宋" w:eastAsia="仿宋" w:cs="仿宋"/>
          <w:b w:val="0"/>
          <w:bCs w:val="0"/>
          <w:color w:val="auto"/>
          <w:sz w:val="36"/>
          <w:szCs w:val="36"/>
          <w:lang w:val="en-US" w:eastAsia="zh-CN"/>
        </w:rPr>
      </w:pPr>
      <w:r>
        <w:rPr>
          <w:rFonts w:hint="default" w:ascii="仿宋" w:hAnsi="仿宋" w:eastAsia="仿宋" w:cs="仿宋"/>
          <w:b w:val="0"/>
          <w:bCs w:val="0"/>
          <w:color w:val="auto"/>
          <w:sz w:val="32"/>
          <w:szCs w:val="32"/>
          <w:lang w:val="en-US" w:eastAsia="zh-CN"/>
        </w:rPr>
        <w:t>3．存在肠道、肝脏、脑组织或血清中病原学证据。</w:t>
      </w:r>
    </w:p>
    <w:p w14:paraId="029CE9D7">
      <w:pPr>
        <w:keepNext w:val="0"/>
        <w:keepLines w:val="0"/>
        <w:pageBreakBefore w:val="0"/>
        <w:kinsoku/>
        <w:wordWrap/>
        <w:overflowPunct/>
        <w:topLinePunct w:val="0"/>
        <w:autoSpaceDE/>
        <w:autoSpaceDN/>
        <w:bidi w:val="0"/>
        <w:adjustRightInd/>
        <w:spacing w:line="540" w:lineRule="exact"/>
        <w:rPr>
          <w:rFonts w:hint="default" w:ascii="仿宋" w:hAnsi="仿宋" w:eastAsia="仿宋" w:cs="仿宋"/>
          <w:b w:val="0"/>
          <w:bCs w:val="0"/>
          <w:color w:val="auto"/>
          <w:sz w:val="32"/>
          <w:szCs w:val="32"/>
          <w:lang w:val="en-US" w:eastAsia="zh-CN"/>
        </w:rPr>
      </w:pPr>
      <w:r>
        <w:rPr>
          <w:rFonts w:hint="default" w:ascii="仿宋" w:hAnsi="仿宋" w:eastAsia="仿宋" w:cs="仿宋"/>
          <w:b/>
          <w:bCs/>
          <w:color w:val="auto"/>
          <w:sz w:val="32"/>
          <w:szCs w:val="32"/>
          <w:lang w:val="en-US" w:eastAsia="zh-CN"/>
        </w:rPr>
        <w:t xml:space="preserve">八、自身免疫性肝病 </w:t>
      </w:r>
      <w:r>
        <w:rPr>
          <w:rFonts w:hint="default" w:ascii="仿宋" w:hAnsi="仿宋" w:eastAsia="仿宋" w:cs="仿宋"/>
          <w:b w:val="0"/>
          <w:bCs w:val="0"/>
          <w:color w:val="auto"/>
          <w:sz w:val="32"/>
          <w:szCs w:val="32"/>
          <w:lang w:val="en-US" w:eastAsia="zh-CN"/>
        </w:rPr>
        <w:t xml:space="preserve"> </w:t>
      </w:r>
    </w:p>
    <w:p w14:paraId="2638176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因体内免疫功能紊乱引起的慢性肝病，具有相关临床表现，经二级及以上</w:t>
      </w:r>
      <w:r>
        <w:rPr>
          <w:rFonts w:hint="eastAsia" w:ascii="Times New Roman" w:hAnsi="Times New Roman" w:eastAsia="方正仿宋_GBK" w:cs="Times New Roman"/>
          <w:color w:val="auto"/>
          <w:sz w:val="32"/>
          <w:szCs w:val="32"/>
          <w:lang w:eastAsia="zh-CN"/>
        </w:rPr>
        <w:t>医院</w:t>
      </w:r>
      <w:r>
        <w:rPr>
          <w:rFonts w:hint="default" w:ascii="Times New Roman" w:hAnsi="Times New Roman" w:eastAsia="方正仿宋_GBK" w:cs="Times New Roman"/>
          <w:color w:val="auto"/>
          <w:sz w:val="32"/>
          <w:szCs w:val="32"/>
        </w:rPr>
        <w:t>确诊</w:t>
      </w:r>
      <w:r>
        <w:rPr>
          <w:rFonts w:hint="eastAsia"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rPr>
        <w:t>有下列抗体部分阳性</w:t>
      </w:r>
      <w:r>
        <w:rPr>
          <w:rFonts w:hint="eastAsia" w:ascii="Times New Roman" w:hAnsi="Times New Roman" w:eastAsia="方正仿宋_GBK" w:cs="Times New Roman"/>
          <w:color w:val="auto"/>
          <w:sz w:val="32"/>
          <w:szCs w:val="32"/>
        </w:rPr>
        <w:t>：</w:t>
      </w:r>
    </w:p>
    <w:p w14:paraId="66C12B6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lang w:val="en-US" w:eastAsia="zh-CN"/>
        </w:rPr>
      </w:pPr>
      <w:r>
        <w:rPr>
          <w:rFonts w:hint="eastAsia" w:ascii="Times New Roman" w:hAnsi="Times New Roman" w:eastAsia="方正仿宋_GBK" w:cs="Times New Roman"/>
          <w:color w:val="auto"/>
          <w:sz w:val="32"/>
          <w:szCs w:val="32"/>
        </w:rPr>
        <w:t>抗核抗体（</w:t>
      </w:r>
      <w:r>
        <w:rPr>
          <w:rFonts w:hint="default" w:ascii="Times New Roman" w:hAnsi="Times New Roman" w:eastAsia="方正仿宋_GBK" w:cs="Times New Roman"/>
          <w:color w:val="auto"/>
          <w:sz w:val="32"/>
          <w:szCs w:val="32"/>
        </w:rPr>
        <w:t>ANA）、抗平滑肌抗体（SMA）、抗肝肾微粒体（KLM）抗体或抗线粒体抗体（AMA），</w:t>
      </w:r>
      <w:r>
        <w:rPr>
          <w:rFonts w:hint="eastAsia" w:ascii="Times New Roman" w:hAnsi="Times New Roman" w:eastAsia="方正仿宋_GBK" w:cs="Times New Roman"/>
          <w:color w:val="auto"/>
          <w:sz w:val="32"/>
          <w:szCs w:val="32"/>
        </w:rPr>
        <w:t>（或）</w:t>
      </w:r>
      <w:r>
        <w:rPr>
          <w:rFonts w:hint="default" w:ascii="Times New Roman" w:hAnsi="Times New Roman" w:eastAsia="方正仿宋_GBK" w:cs="Times New Roman"/>
          <w:color w:val="auto"/>
          <w:sz w:val="32"/>
          <w:szCs w:val="32"/>
        </w:rPr>
        <w:t>伴有血IgG增高、肝功能异常或肝脏病理改变。</w:t>
      </w:r>
    </w:p>
    <w:p w14:paraId="736F0627">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九、</w:t>
      </w:r>
      <w:r>
        <w:rPr>
          <w:rFonts w:hint="default" w:ascii="仿宋" w:hAnsi="仿宋" w:eastAsia="仿宋" w:cs="仿宋"/>
          <w:b/>
          <w:bCs/>
          <w:color w:val="auto"/>
          <w:sz w:val="32"/>
          <w:szCs w:val="32"/>
          <w:lang w:val="en-US" w:eastAsia="zh-CN"/>
        </w:rPr>
        <w:t xml:space="preserve">慢性肾脏病 </w:t>
      </w:r>
    </w:p>
    <w:p w14:paraId="1400C141">
      <w:pPr>
        <w:keepNext w:val="0"/>
        <w:keepLines w:val="0"/>
        <w:pageBreakBefore w:val="0"/>
        <w:kinsoku/>
        <w:wordWrap/>
        <w:overflowPunct/>
        <w:topLinePunct w:val="0"/>
        <w:autoSpaceDE/>
        <w:autoSpaceDN/>
        <w:bidi w:val="0"/>
        <w:adjustRightInd/>
        <w:spacing w:line="54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各种病因导致的肾功能不全，近半年内二级及以上医院确诊为慢性肾脏病，出现肾功能减退(GFR&lt;60ml/min/1.73</w:t>
      </w:r>
      <w:r>
        <w:rPr>
          <w:rFonts w:hint="eastAsia" w:ascii="方正仿宋_GBK" w:hAnsi="方正仿宋_GBK" w:eastAsia="方正仿宋_GBK" w:cs="方正仿宋_GBK"/>
          <w:color w:val="auto"/>
          <w:sz w:val="32"/>
          <w:szCs w:val="32"/>
          <w:highlight w:val="none"/>
        </w:rPr>
        <w:t>㎡</w:t>
      </w:r>
      <w:r>
        <w:rPr>
          <w:rFonts w:hint="default" w:ascii="Times New Roman" w:hAnsi="Times New Roman" w:eastAsia="方正仿宋_GBK" w:cs="Times New Roman"/>
          <w:color w:val="auto"/>
          <w:sz w:val="32"/>
          <w:szCs w:val="32"/>
        </w:rPr>
        <w:t>)，病程≥3个月。</w:t>
      </w:r>
    </w:p>
    <w:p w14:paraId="029EC7B9">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十、</w:t>
      </w:r>
      <w:r>
        <w:rPr>
          <w:rFonts w:hint="default" w:ascii="仿宋" w:hAnsi="仿宋" w:eastAsia="仿宋" w:cs="仿宋"/>
          <w:b/>
          <w:bCs/>
          <w:color w:val="auto"/>
          <w:sz w:val="32"/>
          <w:szCs w:val="32"/>
          <w:lang w:val="en-US" w:eastAsia="zh-CN"/>
        </w:rPr>
        <w:t xml:space="preserve">肾病综合征 </w:t>
      </w:r>
    </w:p>
    <w:p w14:paraId="602F2192">
      <w:pPr>
        <w:keepNext w:val="0"/>
        <w:keepLines w:val="0"/>
        <w:pageBreakBefore w:val="0"/>
        <w:kinsoku/>
        <w:wordWrap/>
        <w:overflowPunct/>
        <w:topLinePunct w:val="0"/>
        <w:autoSpaceDE/>
        <w:autoSpaceDN/>
        <w:bidi w:val="0"/>
        <w:adjustRightInd/>
        <w:spacing w:line="54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经二级及以上医院确诊为肾病综合征，至少符合下列条件中的两项:尿蛋白≥3.5g/d、血浆蛋白&lt;30g/L、肾穿刺病理结果提示肾病综合征。</w:t>
      </w:r>
    </w:p>
    <w:p w14:paraId="407D6A87">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十一、</w:t>
      </w:r>
      <w:r>
        <w:rPr>
          <w:rFonts w:hint="default" w:ascii="仿宋" w:hAnsi="仿宋" w:eastAsia="仿宋" w:cs="仿宋"/>
          <w:b/>
          <w:bCs/>
          <w:color w:val="auto"/>
          <w:sz w:val="32"/>
          <w:szCs w:val="32"/>
          <w:lang w:val="en-US" w:eastAsia="zh-CN"/>
        </w:rPr>
        <w:t xml:space="preserve">糖尿病 </w:t>
      </w:r>
    </w:p>
    <w:p w14:paraId="5451B634">
      <w:pPr>
        <w:keepNext w:val="0"/>
        <w:keepLines w:val="0"/>
        <w:pageBreakBefore w:val="0"/>
        <w:kinsoku/>
        <w:wordWrap/>
        <w:overflowPunct/>
        <w:topLinePunct w:val="0"/>
        <w:autoSpaceDE/>
        <w:autoSpaceDN/>
        <w:bidi w:val="0"/>
        <w:adjustRightInd/>
        <w:spacing w:line="540" w:lineRule="exact"/>
        <w:ind w:firstLine="640" w:firstLineChars="200"/>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1.经二级及以上医疗机构血糖检测确诊为糖尿病，并伴有视网膜病变(有微血管瘤、出血、渗出)、高血压病、冠心病、脑卒中、糖尿病肾病(尿蛋白增高或微量白蛋白高于正常)、肾功能不全或糖尿病神经病足、糖尿病周围血管病变其中之一，需要长期口服降糖药。</w:t>
      </w:r>
    </w:p>
    <w:p w14:paraId="4F682AA1">
      <w:pPr>
        <w:keepNext w:val="0"/>
        <w:keepLines w:val="0"/>
        <w:pageBreakBefore w:val="0"/>
        <w:kinsoku/>
        <w:wordWrap/>
        <w:overflowPunct/>
        <w:topLinePunct w:val="0"/>
        <w:autoSpaceDE/>
        <w:autoSpaceDN/>
        <w:bidi w:val="0"/>
        <w:adjustRightInd/>
        <w:spacing w:line="540" w:lineRule="exact"/>
        <w:ind w:firstLine="640" w:firstLineChars="200"/>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highlight w:val="none"/>
          <w:lang w:val="en-US" w:eastAsia="zh-CN"/>
        </w:rPr>
        <w:t>Ⅰ</w:t>
      </w:r>
      <w:r>
        <w:rPr>
          <w:rFonts w:hint="default" w:ascii="仿宋" w:hAnsi="仿宋" w:eastAsia="仿宋" w:cs="仿宋"/>
          <w:b w:val="0"/>
          <w:bCs w:val="0"/>
          <w:color w:val="auto"/>
          <w:sz w:val="32"/>
          <w:szCs w:val="32"/>
          <w:lang w:val="en-US" w:eastAsia="zh-CN"/>
        </w:rPr>
        <w:t>型糖尿病、部分Ⅱ型糖尿病或因胰腺疾病，需要长期(半年以上)使用胰岛素治疗。</w:t>
      </w:r>
    </w:p>
    <w:p w14:paraId="1FB1F973">
      <w:pPr>
        <w:keepNext w:val="0"/>
        <w:keepLines w:val="0"/>
        <w:pageBreakBefore w:val="0"/>
        <w:kinsoku/>
        <w:wordWrap/>
        <w:overflowPunct/>
        <w:topLinePunct w:val="0"/>
        <w:autoSpaceDE/>
        <w:autoSpaceDN/>
        <w:bidi w:val="0"/>
        <w:adjustRightInd/>
        <w:spacing w:line="540" w:lineRule="exact"/>
        <w:ind w:firstLine="640" w:firstLineChars="200"/>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备注:1.无急性代谢紊乱(糖尿病酮症酸中毒、糖尿病非酮高渗性昏迷等),应提供非同一天血糖检查结果;2.因急性疾病(如急性心肌梗死、脑中风等)住院时发现的高血糖疾病，应在病情稳定2周后重新检查;3.内分泌专科住院发现的高血糖应提供出院小结，非内分泌专科住院发现的高血糖应提供住院治疗期间的化验单;4.冠心病、脑卒中、糖尿病肾病(尿蛋白增高或微量白蛋白高于正常)或伴有肾功能不全、糖尿病神经病足、糖尿病周围血管病变需参保地(或就医地)二级及以上医疗机构疾病诊断证明或相关科室检查报告。</w:t>
      </w:r>
    </w:p>
    <w:p w14:paraId="369BF707">
      <w:pPr>
        <w:keepNext w:val="0"/>
        <w:keepLines w:val="0"/>
        <w:pageBreakBefore w:val="0"/>
        <w:kinsoku/>
        <w:wordWrap/>
        <w:overflowPunct/>
        <w:topLinePunct w:val="0"/>
        <w:autoSpaceDE/>
        <w:autoSpaceDN/>
        <w:bidi w:val="0"/>
        <w:adjustRightInd/>
        <w:spacing w:line="540" w:lineRule="exact"/>
        <w:ind w:firstLine="640" w:firstLineChars="200"/>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符合条件1或条件2，均可被认定为糖尿病。</w:t>
      </w:r>
    </w:p>
    <w:p w14:paraId="41DBE82F">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十二、</w:t>
      </w:r>
      <w:r>
        <w:rPr>
          <w:rFonts w:hint="default" w:ascii="仿宋" w:hAnsi="仿宋" w:eastAsia="仿宋" w:cs="仿宋"/>
          <w:b/>
          <w:bCs/>
          <w:color w:val="auto"/>
          <w:sz w:val="32"/>
          <w:szCs w:val="32"/>
          <w:lang w:val="en-US" w:eastAsia="zh-CN"/>
        </w:rPr>
        <w:t xml:space="preserve">甲状腺功能亢进症 </w:t>
      </w:r>
    </w:p>
    <w:p w14:paraId="24A35450">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1．经二级及以上医院诊断确诊； </w:t>
      </w:r>
    </w:p>
    <w:p w14:paraId="0E0800A0">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2．除外亚急性甲状腺炎症、产后甲状腺炎、HCG相关性甲状腺毒症和甲状腺高功能腺瘤； </w:t>
      </w:r>
    </w:p>
    <w:p w14:paraId="0125947F">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3．当地最高级别医疗机构甲状腺素测定（T3、T4、FT3、FT4、TSH）检验报告异常。 </w:t>
      </w:r>
    </w:p>
    <w:p w14:paraId="123B7364">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十三</w:t>
      </w:r>
      <w:r>
        <w:rPr>
          <w:rFonts w:hint="default" w:ascii="仿宋" w:hAnsi="仿宋" w:eastAsia="仿宋" w:cs="仿宋"/>
          <w:b/>
          <w:bCs/>
          <w:color w:val="auto"/>
          <w:sz w:val="32"/>
          <w:szCs w:val="32"/>
          <w:lang w:val="en-US" w:eastAsia="zh-CN"/>
        </w:rPr>
        <w:t xml:space="preserve">、甲状腺功能减退症 </w:t>
      </w:r>
    </w:p>
    <w:p w14:paraId="345088CB">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1．经二级及以上医院诊断确诊； </w:t>
      </w:r>
    </w:p>
    <w:p w14:paraId="51E2B641">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2．除外口服药物引起的一过性甲减、妊娠期甲减（待分娩6周后重新评估甲状腺功能）、产后甲状腺炎、亚急性甲状腺炎症； </w:t>
      </w:r>
    </w:p>
    <w:p w14:paraId="3A8025DE">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3．当地最高级别医疗机构甲状腺素测定检验报告（T3、T4、TSH）</w:t>
      </w:r>
      <w:r>
        <w:rPr>
          <w:rFonts w:hint="eastAsia" w:ascii="仿宋" w:hAnsi="仿宋" w:eastAsia="仿宋" w:cs="仿宋"/>
          <w:b w:val="0"/>
          <w:bCs w:val="0"/>
          <w:color w:val="auto"/>
          <w:sz w:val="32"/>
          <w:szCs w:val="32"/>
          <w:lang w:val="en-US" w:eastAsia="zh-CN"/>
        </w:rPr>
        <w:t>异常</w:t>
      </w:r>
      <w:r>
        <w:rPr>
          <w:rFonts w:hint="default" w:ascii="仿宋" w:hAnsi="仿宋" w:eastAsia="仿宋" w:cs="仿宋"/>
          <w:b w:val="0"/>
          <w:bCs w:val="0"/>
          <w:color w:val="auto"/>
          <w:sz w:val="32"/>
          <w:szCs w:val="32"/>
          <w:lang w:val="en-US" w:eastAsia="zh-CN"/>
        </w:rPr>
        <w:t xml:space="preserve">。 </w:t>
      </w:r>
    </w:p>
    <w:p w14:paraId="3409D0C4">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十四、</w:t>
      </w:r>
      <w:r>
        <w:rPr>
          <w:rFonts w:hint="default" w:ascii="仿宋" w:hAnsi="仿宋" w:eastAsia="仿宋" w:cs="仿宋"/>
          <w:b/>
          <w:bCs/>
          <w:color w:val="auto"/>
          <w:sz w:val="32"/>
          <w:szCs w:val="32"/>
          <w:lang w:val="en-US" w:eastAsia="zh-CN"/>
        </w:rPr>
        <w:t xml:space="preserve">脑卒中 </w:t>
      </w:r>
    </w:p>
    <w:p w14:paraId="54ECA8C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经诊断为脑出血或脑梗死，住院治疗后仍有意识障碍、中枢性面瘫</w:t>
      </w:r>
      <w:r>
        <w:rPr>
          <w:rFonts w:hint="eastAsia"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rPr>
        <w:t>认知障碍、言语障碍、偏瘫、偏身感觉障碍、吞咽困难、构音障碍、尿潴留或尿失禁等神经症状，经确诊为脑卒中后遗症，仍需继续治疗；</w:t>
      </w:r>
    </w:p>
    <w:p w14:paraId="774CF4B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颅脑CT、CTA、MRI、MRA、DSA等检查发现相应的病灶，有脑血管狭窄或闭塞相关证据。</w:t>
      </w:r>
    </w:p>
    <w:p w14:paraId="5284BF26">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outlineLvl w:val="9"/>
        <w:rPr>
          <w:rFonts w:hint="default" w:ascii="仿宋" w:hAnsi="仿宋" w:eastAsia="仿宋" w:cs="仿宋"/>
          <w:b w:val="0"/>
          <w:bCs w:val="0"/>
          <w:color w:val="auto"/>
          <w:sz w:val="32"/>
          <w:szCs w:val="32"/>
          <w:lang w:val="en-US" w:eastAsia="zh-CN"/>
        </w:rPr>
      </w:pPr>
      <w:r>
        <w:rPr>
          <w:rFonts w:hint="eastAsia" w:ascii="Times New Roman" w:hAnsi="Times New Roman" w:eastAsia="方正仿宋_GBK"/>
          <w:color w:val="auto"/>
          <w:sz w:val="32"/>
          <w:szCs w:val="32"/>
          <w:lang w:val="en-US" w:eastAsia="zh-CN"/>
        </w:rPr>
        <w:t>符合第一条和第二条即可认定，未住院确诊需具备明确新发脑梗死或脑出血的诊断依据。</w:t>
      </w:r>
    </w:p>
    <w:p w14:paraId="659F6B84">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十五、</w:t>
      </w:r>
      <w:r>
        <w:rPr>
          <w:rFonts w:hint="default" w:ascii="仿宋" w:hAnsi="仿宋" w:eastAsia="仿宋" w:cs="仿宋"/>
          <w:b/>
          <w:bCs/>
          <w:color w:val="auto"/>
          <w:sz w:val="32"/>
          <w:szCs w:val="32"/>
          <w:lang w:val="en-US" w:eastAsia="zh-CN"/>
        </w:rPr>
        <w:t xml:space="preserve">癫痫 </w:t>
      </w:r>
    </w:p>
    <w:p w14:paraId="59BD12F8">
      <w:pPr>
        <w:keepNext w:val="0"/>
        <w:keepLines w:val="0"/>
        <w:pageBreakBefore w:val="0"/>
        <w:kinsoku/>
        <w:wordWrap/>
        <w:overflowPunct/>
        <w:topLinePunct w:val="0"/>
        <w:autoSpaceDE/>
        <w:autoSpaceDN/>
        <w:bidi w:val="0"/>
        <w:adjustRightInd/>
        <w:spacing w:line="540" w:lineRule="exact"/>
        <w:ind w:firstLine="640" w:firstLineChars="200"/>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经二级及以上医院神经内科专科医师确诊，各种原因导致的癫痫每年发作2次以上需要用药治疗者。</w:t>
      </w:r>
    </w:p>
    <w:p w14:paraId="63F451BE">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十六、</w:t>
      </w:r>
      <w:r>
        <w:rPr>
          <w:rFonts w:hint="default" w:ascii="仿宋" w:hAnsi="仿宋" w:eastAsia="仿宋" w:cs="仿宋"/>
          <w:b/>
          <w:bCs/>
          <w:color w:val="auto"/>
          <w:sz w:val="32"/>
          <w:szCs w:val="32"/>
          <w:lang w:val="en-US" w:eastAsia="zh-CN"/>
        </w:rPr>
        <w:t xml:space="preserve">帕金森综合症 </w:t>
      </w:r>
    </w:p>
    <w:p w14:paraId="6AAF42A4">
      <w:pPr>
        <w:keepNext w:val="0"/>
        <w:keepLines w:val="0"/>
        <w:pageBreakBefore w:val="0"/>
        <w:kinsoku/>
        <w:wordWrap/>
        <w:overflowPunct/>
        <w:topLinePunct w:val="0"/>
        <w:autoSpaceDE/>
        <w:autoSpaceDN/>
        <w:bidi w:val="0"/>
        <w:adjustRightInd/>
        <w:spacing w:line="540" w:lineRule="exact"/>
        <w:ind w:firstLine="640" w:firstLineChars="200"/>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临床上出现静止性震颤或肌强直，并出现静止性震颤、肌强直、运动迟缓、姿势步态异常四项主征其中两项的，并经二级及以上医院神经内科专科医师确诊，并需要开始抗帕金森病治疗的。</w:t>
      </w:r>
    </w:p>
    <w:p w14:paraId="26EC6B1B">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十七、</w:t>
      </w:r>
      <w:r>
        <w:rPr>
          <w:rFonts w:hint="default" w:ascii="仿宋" w:hAnsi="仿宋" w:eastAsia="仿宋" w:cs="仿宋"/>
          <w:b/>
          <w:bCs/>
          <w:color w:val="auto"/>
          <w:sz w:val="32"/>
          <w:szCs w:val="32"/>
          <w:lang w:val="en-US" w:eastAsia="zh-CN"/>
        </w:rPr>
        <w:t xml:space="preserve">阿尔茨海默病（老年痴呆） </w:t>
      </w:r>
    </w:p>
    <w:p w14:paraId="52F125A4">
      <w:pPr>
        <w:keepNext w:val="0"/>
        <w:keepLines w:val="0"/>
        <w:pageBreakBefore w:val="0"/>
        <w:kinsoku/>
        <w:wordWrap/>
        <w:overflowPunct/>
        <w:topLinePunct w:val="0"/>
        <w:autoSpaceDE/>
        <w:autoSpaceDN/>
        <w:bidi w:val="0"/>
        <w:adjustRightInd/>
        <w:spacing w:line="540" w:lineRule="exact"/>
        <w:ind w:firstLine="640" w:firstLineChars="200"/>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经三级医院或当地最高级别医院临床诊断为阿尔茨海默病，或其他各种原因脑病所致的痴呆患者。</w:t>
      </w:r>
    </w:p>
    <w:p w14:paraId="64D898D1">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十八、</w:t>
      </w:r>
      <w:r>
        <w:rPr>
          <w:rFonts w:hint="default" w:ascii="仿宋" w:hAnsi="仿宋" w:eastAsia="仿宋" w:cs="仿宋"/>
          <w:b/>
          <w:bCs/>
          <w:color w:val="auto"/>
          <w:sz w:val="32"/>
          <w:szCs w:val="32"/>
          <w:lang w:val="en-US" w:eastAsia="zh-CN"/>
        </w:rPr>
        <w:t xml:space="preserve">重症肌无力 </w:t>
      </w:r>
    </w:p>
    <w:p w14:paraId="75754986">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出现眼外肌或四肢肌或咽喉肌或呼吸肌等受累症状，经二级及以上医院临床确诊为重症肌无力，并符合下列条件之一的： </w:t>
      </w:r>
    </w:p>
    <w:p w14:paraId="1AEF09AE">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1．新斯的明（或腾喜龙）试验：阳性； </w:t>
      </w:r>
    </w:p>
    <w:p w14:paraId="0470F557">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2．疲劳试验：阳性； </w:t>
      </w:r>
    </w:p>
    <w:p w14:paraId="033CB3B9">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3．免疫学检测：AchR-Ab滴度升高； </w:t>
      </w:r>
    </w:p>
    <w:p w14:paraId="64BD8B5D">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4．胸腺 CT检查：显示胸腺瘤改变； </w:t>
      </w:r>
    </w:p>
    <w:p w14:paraId="196E2FC3">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5．肌电图检查报告异常，重复电刺激低频或高频递减； </w:t>
      </w:r>
    </w:p>
    <w:p w14:paraId="2CF6937D">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6．mas受体阳性。 </w:t>
      </w:r>
    </w:p>
    <w:p w14:paraId="2090C4C1">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十九、</w:t>
      </w:r>
      <w:r>
        <w:rPr>
          <w:rFonts w:hint="default" w:ascii="仿宋" w:hAnsi="仿宋" w:eastAsia="仿宋" w:cs="仿宋"/>
          <w:b/>
          <w:bCs/>
          <w:color w:val="auto"/>
          <w:sz w:val="32"/>
          <w:szCs w:val="32"/>
          <w:lang w:val="en-US" w:eastAsia="zh-CN"/>
        </w:rPr>
        <w:t xml:space="preserve">肌萎缩侧索硬化症 </w:t>
      </w:r>
    </w:p>
    <w:p w14:paraId="5C1A4B65">
      <w:pPr>
        <w:keepNext w:val="0"/>
        <w:keepLines w:val="0"/>
        <w:pageBreakBefore w:val="0"/>
        <w:kinsoku/>
        <w:wordWrap/>
        <w:overflowPunct/>
        <w:topLinePunct w:val="0"/>
        <w:autoSpaceDE/>
        <w:autoSpaceDN/>
        <w:bidi w:val="0"/>
        <w:adjustRightInd/>
        <w:spacing w:line="540" w:lineRule="exact"/>
        <w:ind w:firstLine="640" w:firstLineChars="200"/>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有肌无力、肌萎缩、吞咽困难等上或下运动神经元损害的临床症状，肌电图检查提示至少二个节段损害，经三级医院住院确诊，且病程≥3个月。</w:t>
      </w:r>
    </w:p>
    <w:p w14:paraId="1177A5D4">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二十、</w:t>
      </w:r>
      <w:r>
        <w:rPr>
          <w:rFonts w:hint="default" w:ascii="仿宋" w:hAnsi="仿宋" w:eastAsia="仿宋" w:cs="仿宋"/>
          <w:b/>
          <w:bCs/>
          <w:color w:val="auto"/>
          <w:sz w:val="32"/>
          <w:szCs w:val="32"/>
          <w:lang w:val="en-US" w:eastAsia="zh-CN"/>
        </w:rPr>
        <w:t xml:space="preserve">青光眼 </w:t>
      </w:r>
    </w:p>
    <w:p w14:paraId="14F7053D">
      <w:pPr>
        <w:keepNext w:val="0"/>
        <w:keepLines w:val="0"/>
        <w:pageBreakBefore w:val="0"/>
        <w:kinsoku/>
        <w:wordWrap/>
        <w:overflowPunct/>
        <w:topLinePunct w:val="0"/>
        <w:autoSpaceDE/>
        <w:autoSpaceDN/>
        <w:bidi w:val="0"/>
        <w:adjustRightInd/>
        <w:spacing w:line="540" w:lineRule="exact"/>
        <w:ind w:firstLine="640" w:firstLineChars="200"/>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经三级综合医院眼科或二级及以上眼科专科医院医师诊断青光眼，不适宜手术治疗，需长期门诊治疗的患者。</w:t>
      </w:r>
    </w:p>
    <w:p w14:paraId="489DC5F9">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二十一、</w:t>
      </w:r>
      <w:r>
        <w:rPr>
          <w:rFonts w:hint="default" w:ascii="仿宋" w:hAnsi="仿宋" w:eastAsia="仿宋" w:cs="仿宋"/>
          <w:b/>
          <w:bCs/>
          <w:color w:val="auto"/>
          <w:sz w:val="32"/>
          <w:szCs w:val="32"/>
          <w:lang w:val="en-US" w:eastAsia="zh-CN"/>
        </w:rPr>
        <w:t xml:space="preserve">黄斑性眼病 </w:t>
      </w:r>
    </w:p>
    <w:p w14:paraId="2DA8143F">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1．经三级综合医院眼科或二级及以上眼科专科医院医师诊断，由于黄斑变性、糖尿病性黄斑水肿、脉络膜新生血管或视网膜静脉阻塞引起的视力损害； </w:t>
      </w:r>
    </w:p>
    <w:p w14:paraId="68B09EDB">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2．基线矫正视力 0.05-0.5；光感-0.5； </w:t>
      </w:r>
    </w:p>
    <w:p w14:paraId="530514FB">
      <w:pPr>
        <w:keepNext w:val="0"/>
        <w:keepLines w:val="0"/>
        <w:pageBreakBefore w:val="0"/>
        <w:kinsoku/>
        <w:wordWrap/>
        <w:overflowPunct/>
        <w:topLinePunct w:val="0"/>
        <w:autoSpaceDE/>
        <w:autoSpaceDN/>
        <w:bidi w:val="0"/>
        <w:adjustRightInd/>
        <w:spacing w:line="540" w:lineRule="exact"/>
        <w:ind w:firstLine="640" w:firstLineChars="200"/>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3．需有血管造影及光学相关断层扫描（OCT）证实黄斑区有新生血管，对于不适合做血管造影者，血管成像（OCTA）证实黄斑区有新生血管。</w:t>
      </w:r>
    </w:p>
    <w:p w14:paraId="07C582EA">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二十二、</w:t>
      </w:r>
      <w:r>
        <w:rPr>
          <w:rFonts w:hint="default" w:ascii="仿宋" w:hAnsi="仿宋" w:eastAsia="仿宋" w:cs="仿宋"/>
          <w:b/>
          <w:bCs/>
          <w:color w:val="auto"/>
          <w:sz w:val="32"/>
          <w:szCs w:val="32"/>
          <w:lang w:val="en-US" w:eastAsia="zh-CN"/>
        </w:rPr>
        <w:t xml:space="preserve">银屑病 </w:t>
      </w:r>
    </w:p>
    <w:p w14:paraId="53C7BAF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经二级甲等及以上</w:t>
      </w:r>
      <w:r>
        <w:rPr>
          <w:rFonts w:hint="eastAsia" w:ascii="Times New Roman" w:hAnsi="Times New Roman" w:eastAsia="方正仿宋_GBK" w:cs="Times New Roman"/>
          <w:color w:val="auto"/>
          <w:sz w:val="32"/>
          <w:szCs w:val="32"/>
          <w:lang w:eastAsia="zh-CN"/>
        </w:rPr>
        <w:t>相关</w:t>
      </w:r>
      <w:r>
        <w:rPr>
          <w:rFonts w:hint="default" w:ascii="Times New Roman" w:hAnsi="Times New Roman" w:eastAsia="方正仿宋_GBK" w:cs="Times New Roman"/>
          <w:color w:val="auto"/>
          <w:sz w:val="32"/>
          <w:szCs w:val="32"/>
        </w:rPr>
        <w:t>专科医师确诊为银屑病，并且BSA面积＞5%且PASI评分＞5，中度至重度寻常型银屑病或关节型、脓疱型或红皮病型。</w:t>
      </w:r>
    </w:p>
    <w:p w14:paraId="53F0D91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Times New Roman" w:hAnsi="Times New Roman" w:eastAsia="方正仿宋_GBK" w:cs="Times New Roman"/>
          <w:color w:val="auto"/>
          <w:sz w:val="32"/>
          <w:szCs w:val="32"/>
        </w:rPr>
        <w:t>对传统治疗无效、禁忌或不能耐受的患者。</w:t>
      </w:r>
    </w:p>
    <w:p w14:paraId="11158295">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二十三、</w:t>
      </w:r>
      <w:r>
        <w:rPr>
          <w:rFonts w:hint="default" w:ascii="仿宋" w:hAnsi="仿宋" w:eastAsia="仿宋" w:cs="仿宋"/>
          <w:b/>
          <w:bCs/>
          <w:color w:val="auto"/>
          <w:sz w:val="32"/>
          <w:szCs w:val="32"/>
          <w:lang w:val="en-US" w:eastAsia="zh-CN"/>
        </w:rPr>
        <w:t xml:space="preserve">白癜风 </w:t>
      </w:r>
    </w:p>
    <w:p w14:paraId="269CE1AF">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经三级医院或当地最高级别医院皮肤科专科医师确诊为白癜风，并符合下列情况之一的： </w:t>
      </w:r>
    </w:p>
    <w:p w14:paraId="333BC9E1">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1．皮肤累及面部、颈部或双手背； </w:t>
      </w:r>
    </w:p>
    <w:p w14:paraId="0ADFF33A">
      <w:pPr>
        <w:keepNext w:val="0"/>
        <w:keepLines w:val="0"/>
        <w:pageBreakBefore w:val="0"/>
        <w:kinsoku/>
        <w:wordWrap/>
        <w:overflowPunct/>
        <w:topLinePunct w:val="0"/>
        <w:autoSpaceDE/>
        <w:autoSpaceDN/>
        <w:bidi w:val="0"/>
        <w:adjustRightInd/>
        <w:spacing w:line="540" w:lineRule="exact"/>
        <w:ind w:firstLine="640" w:firstLineChars="200"/>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2．皮损累及总面积≥10</w:t>
      </w:r>
      <w:r>
        <w:rPr>
          <w:rFonts w:hint="default" w:ascii="方正仿宋_GBK" w:hAnsi="方正仿宋_GBK" w:eastAsia="方正仿宋_GBK" w:cs="方正仿宋_GBK"/>
          <w:color w:val="auto"/>
          <w:sz w:val="32"/>
          <w:szCs w:val="32"/>
          <w:highlight w:val="none"/>
          <w:lang w:val="en-US" w:eastAsia="zh-CN"/>
        </w:rPr>
        <w:t>cm²</w:t>
      </w:r>
      <w:r>
        <w:rPr>
          <w:rFonts w:hint="default" w:ascii="仿宋" w:hAnsi="仿宋" w:eastAsia="仿宋" w:cs="仿宋"/>
          <w:b w:val="0"/>
          <w:bCs w:val="0"/>
          <w:color w:val="auto"/>
          <w:sz w:val="32"/>
          <w:szCs w:val="32"/>
          <w:lang w:val="en-US" w:eastAsia="zh-CN"/>
        </w:rPr>
        <w:t xml:space="preserve">。 </w:t>
      </w:r>
    </w:p>
    <w:p w14:paraId="3A23112A">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二十四、</w:t>
      </w:r>
      <w:r>
        <w:rPr>
          <w:rFonts w:hint="default" w:ascii="仿宋" w:hAnsi="仿宋" w:eastAsia="仿宋" w:cs="仿宋"/>
          <w:b/>
          <w:bCs/>
          <w:color w:val="auto"/>
          <w:sz w:val="32"/>
          <w:szCs w:val="32"/>
          <w:lang w:val="en-US" w:eastAsia="zh-CN"/>
        </w:rPr>
        <w:t xml:space="preserve">慢性乙型肝炎 </w:t>
      </w:r>
    </w:p>
    <w:p w14:paraId="7FC8A6B9">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确需进行抗病毒治疗的乙肝患者，符合下列条件之一的： </w:t>
      </w:r>
    </w:p>
    <w:p w14:paraId="0CC8E956">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1．①HBeAg阳性，HBVDNA≥105拷贝/ml；HBeAg阴性， </w:t>
      </w:r>
    </w:p>
    <w:p w14:paraId="47A66454">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HBVDNA≥104拷贝/ml；②ALT≥2×ULN；如 ALT&lt;2×ULN，但 </w:t>
      </w:r>
    </w:p>
    <w:p w14:paraId="7E4668B3">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肝组织学显示 KnodellHAI≥4，或炎症坏死≥G2，或纤维化≥S2。 </w:t>
      </w:r>
    </w:p>
    <w:p w14:paraId="422840B1">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2．①HBeAg阳性，HBVDNA≥105拷贝/ml；HBeAg阴性， </w:t>
      </w:r>
    </w:p>
    <w:p w14:paraId="2D3C2539">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HBVDNA≥104拷贝/ml；②ALT≥ULN且年龄＞40岁者。 </w:t>
      </w:r>
    </w:p>
    <w:p w14:paraId="5B785F89">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3．B超或 CT检查报告肝硬化或肝癌，HBVDNA≥103拷贝/ml。</w:t>
      </w:r>
    </w:p>
    <w:p w14:paraId="3EB7EC1F">
      <w:pPr>
        <w:keepNext w:val="0"/>
        <w:keepLines w:val="0"/>
        <w:pageBreakBefore w:val="0"/>
        <w:kinsoku/>
        <w:wordWrap/>
        <w:overflowPunct/>
        <w:topLinePunct w:val="0"/>
        <w:autoSpaceDE/>
        <w:autoSpaceDN/>
        <w:bidi w:val="0"/>
        <w:adjustRightInd/>
        <w:spacing w:line="540" w:lineRule="exact"/>
        <w:ind w:firstLine="640" w:firstLineChars="200"/>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4．已经在二级及以上具备资质的医疗机构开始 3个月以上的规范抗病毒治疗，仍需继续治疗的。</w:t>
      </w:r>
    </w:p>
    <w:p w14:paraId="2CA74C2A">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二十五、</w:t>
      </w:r>
      <w:r>
        <w:rPr>
          <w:rFonts w:hint="default" w:ascii="仿宋" w:hAnsi="仿宋" w:eastAsia="仿宋" w:cs="仿宋"/>
          <w:b/>
          <w:bCs/>
          <w:color w:val="auto"/>
          <w:sz w:val="32"/>
          <w:szCs w:val="32"/>
          <w:lang w:val="en-US" w:eastAsia="zh-CN"/>
        </w:rPr>
        <w:t xml:space="preserve">慢性丙型肝炎 </w:t>
      </w:r>
    </w:p>
    <w:p w14:paraId="53697A3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经传染病专科医院</w:t>
      </w:r>
      <w:r>
        <w:rPr>
          <w:rFonts w:hint="default" w:ascii="Times New Roman" w:hAnsi="Times New Roman" w:eastAsia="方正仿宋_GBK" w:cs="Times New Roman"/>
          <w:b w:val="0"/>
          <w:bCs w:val="0"/>
          <w:color w:val="auto"/>
          <w:sz w:val="32"/>
          <w:szCs w:val="32"/>
        </w:rPr>
        <w:t>或具备收治能力的二级甲等及以上综合性医院临床</w:t>
      </w:r>
      <w:r>
        <w:rPr>
          <w:rFonts w:hint="default" w:ascii="Times New Roman" w:hAnsi="Times New Roman" w:eastAsia="方正仿宋_GBK" w:cs="Times New Roman"/>
          <w:color w:val="auto"/>
          <w:sz w:val="32"/>
          <w:szCs w:val="32"/>
        </w:rPr>
        <w:t>确诊，具有抗病毒治疗指征，需要按照临床诊疗规范进行抗病毒治疗。</w:t>
      </w:r>
      <w:r>
        <w:rPr>
          <w:rFonts w:hint="eastAsia" w:ascii="Times New Roman" w:hAnsi="Times New Roman" w:eastAsia="方正仿宋_GBK" w:cs="Times New Roman"/>
          <w:color w:val="auto"/>
          <w:sz w:val="32"/>
          <w:szCs w:val="32"/>
        </w:rPr>
        <w:t>抗</w:t>
      </w:r>
      <w:r>
        <w:rPr>
          <w:rFonts w:hint="default" w:ascii="Times New Roman" w:hAnsi="Times New Roman" w:eastAsia="方正仿宋_GBK" w:cs="Times New Roman"/>
          <w:color w:val="auto"/>
          <w:sz w:val="32"/>
          <w:szCs w:val="32"/>
        </w:rPr>
        <w:t>HCV和HCV RNA阳性。</w:t>
      </w:r>
    </w:p>
    <w:p w14:paraId="507F3855">
      <w:pPr>
        <w:keepNext w:val="0"/>
        <w:keepLines w:val="0"/>
        <w:pageBreakBefore w:val="0"/>
        <w:kinsoku/>
        <w:wordWrap/>
        <w:overflowPunct/>
        <w:topLinePunct w:val="0"/>
        <w:autoSpaceDE/>
        <w:autoSpaceDN/>
        <w:bidi w:val="0"/>
        <w:adjustRightInd/>
        <w:spacing w:line="54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本病种治疗终结后，再次申请需提供初治病例及复发的检查报告，经临床专家审核评估，需要继续进行抗病毒治疗的，可再次享受门诊待遇。</w:t>
      </w:r>
    </w:p>
    <w:p w14:paraId="11B4C336">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w:t>
      </w:r>
      <w:r>
        <w:rPr>
          <w:rFonts w:hint="default" w:ascii="仿宋" w:hAnsi="仿宋" w:eastAsia="仿宋" w:cs="仿宋"/>
          <w:b/>
          <w:bCs/>
          <w:color w:val="auto"/>
          <w:sz w:val="32"/>
          <w:szCs w:val="32"/>
          <w:lang w:val="en-US" w:eastAsia="zh-CN"/>
        </w:rPr>
        <w:t xml:space="preserve">十六、结核病 </w:t>
      </w:r>
    </w:p>
    <w:p w14:paraId="5990DDB0">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1．经专科医院或具备收治能力的二级甲等及以上综合性医院临床确诊为结核病， </w:t>
      </w:r>
    </w:p>
    <w:p w14:paraId="2987F3B8">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2．具有相应部位结核病的影像学特征； </w:t>
      </w:r>
    </w:p>
    <w:p w14:paraId="5786CA55">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3．病理学或病原学标志阳性。 </w:t>
      </w:r>
    </w:p>
    <w:p w14:paraId="04004C71">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4．已实施抗结核治疗，需门诊进行规范抗结核治疗的。 </w:t>
      </w:r>
    </w:p>
    <w:p w14:paraId="11C4F0FC">
      <w:pPr>
        <w:keepNext w:val="0"/>
        <w:keepLines w:val="0"/>
        <w:pageBreakBefore w:val="0"/>
        <w:kinsoku/>
        <w:wordWrap/>
        <w:overflowPunct/>
        <w:topLinePunct w:val="0"/>
        <w:autoSpaceDE/>
        <w:autoSpaceDN/>
        <w:bidi w:val="0"/>
        <w:adjustRightInd/>
        <w:spacing w:line="540" w:lineRule="exact"/>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耐药性结核患者需提供药敏检验报告和耐药治疗方案。</w:t>
      </w:r>
    </w:p>
    <w:p w14:paraId="60DDD1B0">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w:t>
      </w:r>
      <w:r>
        <w:rPr>
          <w:rFonts w:hint="default" w:ascii="仿宋" w:hAnsi="仿宋" w:eastAsia="仿宋" w:cs="仿宋"/>
          <w:b/>
          <w:bCs/>
          <w:color w:val="auto"/>
          <w:sz w:val="32"/>
          <w:szCs w:val="32"/>
          <w:lang w:val="en-US" w:eastAsia="zh-CN"/>
        </w:rPr>
        <w:t xml:space="preserve">十七、艾滋病 </w:t>
      </w:r>
    </w:p>
    <w:p w14:paraId="33993F94">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1．HIV抗体筛查试验阳性和 HIV补充试验阳性，或 HIV分离试验阳性，经具备相应资质的医疗机构确诊的患者； </w:t>
      </w:r>
    </w:p>
    <w:p w14:paraId="22B7EE04">
      <w:pPr>
        <w:keepNext w:val="0"/>
        <w:keepLines w:val="0"/>
        <w:pageBreakBefore w:val="0"/>
        <w:kinsoku/>
        <w:wordWrap/>
        <w:overflowPunct/>
        <w:topLinePunct w:val="0"/>
        <w:autoSpaceDE/>
        <w:autoSpaceDN/>
        <w:bidi w:val="0"/>
        <w:adjustRightInd/>
        <w:spacing w:line="540" w:lineRule="exact"/>
        <w:ind w:firstLine="640" w:firstLineChars="200"/>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2．当地疾控部门出具 HIV抗体确诊检测报告阳性的患者。</w:t>
      </w:r>
    </w:p>
    <w:p w14:paraId="7249054F">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w:t>
      </w:r>
      <w:r>
        <w:rPr>
          <w:rFonts w:hint="default" w:ascii="仿宋" w:hAnsi="仿宋" w:eastAsia="仿宋" w:cs="仿宋"/>
          <w:b/>
          <w:bCs/>
          <w:color w:val="auto"/>
          <w:sz w:val="32"/>
          <w:szCs w:val="32"/>
          <w:lang w:val="en-US" w:eastAsia="zh-CN"/>
        </w:rPr>
        <w:t xml:space="preserve">十八、类风湿性关节炎 </w:t>
      </w:r>
    </w:p>
    <w:p w14:paraId="4AEDB0FF">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经二级及以上医院住院或风湿专科门诊确诊，并符合下列中两条的：</w:t>
      </w:r>
    </w:p>
    <w:p w14:paraId="2ABF380F">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1．血沉异常升高或 CRP升高； </w:t>
      </w:r>
    </w:p>
    <w:p w14:paraId="662B0B68">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2．类风湿因子或抗 CCP阳性； </w:t>
      </w:r>
    </w:p>
    <w:p w14:paraId="153A6480">
      <w:pPr>
        <w:keepNext w:val="0"/>
        <w:keepLines w:val="0"/>
        <w:pageBreakBefore w:val="0"/>
        <w:kinsoku/>
        <w:wordWrap/>
        <w:overflowPunct/>
        <w:topLinePunct w:val="0"/>
        <w:autoSpaceDE/>
        <w:autoSpaceDN/>
        <w:bidi w:val="0"/>
        <w:adjustRightInd/>
        <w:spacing w:line="540" w:lineRule="exact"/>
        <w:ind w:firstLine="640" w:firstLineChars="200"/>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3．影像学检查骨关节及周围软组织特征性改变（至少有骨质稀疏），或关节 B超、MRI关节滑膜炎。</w:t>
      </w:r>
    </w:p>
    <w:p w14:paraId="7A3CF01E">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w:t>
      </w:r>
      <w:r>
        <w:rPr>
          <w:rFonts w:hint="default" w:ascii="仿宋" w:hAnsi="仿宋" w:eastAsia="仿宋" w:cs="仿宋"/>
          <w:b/>
          <w:bCs/>
          <w:color w:val="auto"/>
          <w:sz w:val="32"/>
          <w:szCs w:val="32"/>
          <w:lang w:val="en-US" w:eastAsia="zh-CN"/>
        </w:rPr>
        <w:t xml:space="preserve">十九、强直性脊柱炎 </w:t>
      </w:r>
    </w:p>
    <w:p w14:paraId="4477DF8F">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1．出现 3个月以上腰背痛、晨僵、脊柱活动受限等症状，活动后疼痛可缓解，但休息不能减轻；腰椎在前后和侧屈方向活动受限；胸廓扩展范围小于正常值； </w:t>
      </w:r>
    </w:p>
    <w:p w14:paraId="2E22064E">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2．影像学检查：双侧骶髂关节炎 2-4级或单侧骶髂关节炎3-4级；或人类白细胞抗原 B27测定（HLA-B27）阳性； </w:t>
      </w:r>
    </w:p>
    <w:p w14:paraId="0DC9E854">
      <w:pPr>
        <w:keepNext w:val="0"/>
        <w:keepLines w:val="0"/>
        <w:pageBreakBefore w:val="0"/>
        <w:kinsoku/>
        <w:wordWrap/>
        <w:overflowPunct/>
        <w:topLinePunct w:val="0"/>
        <w:autoSpaceDE/>
        <w:autoSpaceDN/>
        <w:bidi w:val="0"/>
        <w:adjustRightInd/>
        <w:spacing w:line="540" w:lineRule="exact"/>
        <w:ind w:firstLine="640" w:firstLineChars="200"/>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3．经二级及以上医院住院或风湿专科门诊确诊。</w:t>
      </w:r>
    </w:p>
    <w:p w14:paraId="3E42674B">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三十</w:t>
      </w:r>
      <w:r>
        <w:rPr>
          <w:rFonts w:hint="default" w:ascii="仿宋" w:hAnsi="仿宋" w:eastAsia="仿宋" w:cs="仿宋"/>
          <w:b/>
          <w:bCs/>
          <w:color w:val="auto"/>
          <w:sz w:val="32"/>
          <w:szCs w:val="32"/>
          <w:lang w:val="en-US" w:eastAsia="zh-CN"/>
        </w:rPr>
        <w:t xml:space="preserve">、白塞氏病 </w:t>
      </w:r>
    </w:p>
    <w:p w14:paraId="4C900465">
      <w:pPr>
        <w:keepNext w:val="0"/>
        <w:keepLines w:val="0"/>
        <w:pageBreakBefore w:val="0"/>
        <w:kinsoku/>
        <w:wordWrap/>
        <w:overflowPunct/>
        <w:topLinePunct w:val="0"/>
        <w:autoSpaceDE/>
        <w:autoSpaceDN/>
        <w:bidi w:val="0"/>
        <w:adjustRightInd/>
        <w:spacing w:line="540" w:lineRule="exact"/>
        <w:ind w:firstLine="640" w:firstLineChars="200"/>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出现口腔、眼、生殖器溃疡及皮肤特征性皮损并反复发作与缓解慢性过程，经三级医院或当地最高级别医院确诊，需要长期治疗的。</w:t>
      </w:r>
    </w:p>
    <w:p w14:paraId="1DBE2FC0">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三</w:t>
      </w:r>
      <w:r>
        <w:rPr>
          <w:rFonts w:hint="default" w:ascii="仿宋" w:hAnsi="仿宋" w:eastAsia="仿宋" w:cs="仿宋"/>
          <w:b/>
          <w:bCs/>
          <w:color w:val="auto"/>
          <w:sz w:val="32"/>
          <w:szCs w:val="32"/>
          <w:lang w:val="en-US" w:eastAsia="zh-CN"/>
        </w:rPr>
        <w:t>十</w:t>
      </w:r>
      <w:r>
        <w:rPr>
          <w:rFonts w:hint="eastAsia" w:ascii="仿宋" w:hAnsi="仿宋" w:eastAsia="仿宋" w:cs="仿宋"/>
          <w:b/>
          <w:bCs/>
          <w:color w:val="auto"/>
          <w:sz w:val="32"/>
          <w:szCs w:val="32"/>
          <w:lang w:val="en-US" w:eastAsia="zh-CN"/>
        </w:rPr>
        <w:t>一</w:t>
      </w:r>
      <w:r>
        <w:rPr>
          <w:rFonts w:hint="default" w:ascii="仿宋" w:hAnsi="仿宋" w:eastAsia="仿宋" w:cs="仿宋"/>
          <w:b/>
          <w:bCs/>
          <w:color w:val="auto"/>
          <w:sz w:val="32"/>
          <w:szCs w:val="32"/>
          <w:lang w:val="en-US" w:eastAsia="zh-CN"/>
        </w:rPr>
        <w:t>、系统性硬化症</w:t>
      </w:r>
      <w:r>
        <w:rPr>
          <w:rFonts w:hint="default" w:ascii="仿宋" w:hAnsi="仿宋" w:eastAsia="仿宋" w:cs="仿宋"/>
          <w:b w:val="0"/>
          <w:bCs w:val="0"/>
          <w:color w:val="auto"/>
          <w:sz w:val="32"/>
          <w:szCs w:val="32"/>
          <w:lang w:val="en-US" w:eastAsia="zh-CN"/>
        </w:rPr>
        <w:t xml:space="preserve"> </w:t>
      </w:r>
    </w:p>
    <w:p w14:paraId="23791C56">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临床出现皮肤肿胀硬化、手指的凹陷性瘢痕或硬指、Raynaud征阳性、指趾尖端溃疡等临床表现，经三级医院或当地最高级别医院确诊，并符合下列条件之一的： </w:t>
      </w:r>
    </w:p>
    <w:p w14:paraId="1A804DC6">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1．X光检查：肺纤维化、食道运动功能障碍等内脏改变； </w:t>
      </w:r>
    </w:p>
    <w:p w14:paraId="011DD1CF">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2．肺动脉高压或肾脏病变； </w:t>
      </w:r>
    </w:p>
    <w:p w14:paraId="3ADFF5D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3．免疫学检测：抗 Scl-70（+），抗着丝点抗体（+）。</w:t>
      </w:r>
    </w:p>
    <w:p w14:paraId="58703960">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w:t>
      </w:r>
      <w:r>
        <w:rPr>
          <w:rFonts w:hint="default" w:ascii="仿宋" w:hAnsi="仿宋" w:eastAsia="仿宋" w:cs="仿宋"/>
          <w:b/>
          <w:bCs/>
          <w:color w:val="auto"/>
          <w:sz w:val="32"/>
          <w:szCs w:val="32"/>
          <w:lang w:val="en-US" w:eastAsia="zh-CN"/>
        </w:rPr>
        <w:t>十</w:t>
      </w:r>
      <w:r>
        <w:rPr>
          <w:rFonts w:hint="eastAsia" w:ascii="仿宋" w:hAnsi="仿宋" w:eastAsia="仿宋" w:cs="仿宋"/>
          <w:b/>
          <w:bCs/>
          <w:color w:val="auto"/>
          <w:sz w:val="32"/>
          <w:szCs w:val="32"/>
          <w:lang w:val="en-US" w:eastAsia="zh-CN"/>
        </w:rPr>
        <w:t>二</w:t>
      </w:r>
      <w:r>
        <w:rPr>
          <w:rFonts w:hint="default" w:ascii="仿宋" w:hAnsi="仿宋" w:eastAsia="仿宋" w:cs="仿宋"/>
          <w:b/>
          <w:bCs/>
          <w:color w:val="auto"/>
          <w:sz w:val="32"/>
          <w:szCs w:val="32"/>
          <w:lang w:val="en-US" w:eastAsia="zh-CN"/>
        </w:rPr>
        <w:t xml:space="preserve">、干燥综合征 </w:t>
      </w:r>
    </w:p>
    <w:p w14:paraId="5C4F807D">
      <w:pPr>
        <w:keepNext w:val="0"/>
        <w:keepLines w:val="0"/>
        <w:pageBreakBefore w:val="0"/>
        <w:kinsoku/>
        <w:wordWrap/>
        <w:overflowPunct/>
        <w:topLinePunct w:val="0"/>
        <w:autoSpaceDE/>
        <w:autoSpaceDN/>
        <w:bidi w:val="0"/>
        <w:adjustRightInd/>
        <w:spacing w:line="540" w:lineRule="exact"/>
        <w:ind w:firstLine="640" w:firstLineChars="200"/>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经三级医院或当地最高级别医院确诊，并累及血液、肺、肾脏或肝脏等器官损害的相关检查或证明。</w:t>
      </w:r>
    </w:p>
    <w:p w14:paraId="42F0803F">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三</w:t>
      </w:r>
      <w:r>
        <w:rPr>
          <w:rFonts w:hint="default" w:ascii="仿宋" w:hAnsi="仿宋" w:eastAsia="仿宋" w:cs="仿宋"/>
          <w:b/>
          <w:bCs/>
          <w:color w:val="auto"/>
          <w:sz w:val="32"/>
          <w:szCs w:val="32"/>
          <w:lang w:val="en-US" w:eastAsia="zh-CN"/>
        </w:rPr>
        <w:t>十</w:t>
      </w:r>
      <w:r>
        <w:rPr>
          <w:rFonts w:hint="eastAsia" w:ascii="仿宋" w:hAnsi="仿宋" w:eastAsia="仿宋" w:cs="仿宋"/>
          <w:b/>
          <w:bCs/>
          <w:color w:val="auto"/>
          <w:sz w:val="32"/>
          <w:szCs w:val="32"/>
          <w:lang w:val="en-US" w:eastAsia="zh-CN"/>
        </w:rPr>
        <w:t>三</w:t>
      </w:r>
      <w:r>
        <w:rPr>
          <w:rFonts w:hint="default" w:ascii="仿宋" w:hAnsi="仿宋" w:eastAsia="仿宋" w:cs="仿宋"/>
          <w:b/>
          <w:bCs/>
          <w:color w:val="auto"/>
          <w:sz w:val="32"/>
          <w:szCs w:val="32"/>
          <w:lang w:val="en-US" w:eastAsia="zh-CN"/>
        </w:rPr>
        <w:t>、多发性肌炎</w:t>
      </w:r>
      <w:r>
        <w:rPr>
          <w:rFonts w:hint="default" w:ascii="仿宋" w:hAnsi="仿宋" w:eastAsia="仿宋" w:cs="仿宋"/>
          <w:b w:val="0"/>
          <w:bCs w:val="0"/>
          <w:color w:val="auto"/>
          <w:sz w:val="32"/>
          <w:szCs w:val="32"/>
          <w:lang w:val="en-US" w:eastAsia="zh-CN"/>
        </w:rPr>
        <w:t xml:space="preserve"> </w:t>
      </w:r>
    </w:p>
    <w:p w14:paraId="1991A6B9">
      <w:pPr>
        <w:keepNext w:val="0"/>
        <w:keepLines w:val="0"/>
        <w:pageBreakBefore w:val="0"/>
        <w:kinsoku/>
        <w:wordWrap/>
        <w:overflowPunct/>
        <w:topLinePunct w:val="0"/>
        <w:autoSpaceDE/>
        <w:autoSpaceDN/>
        <w:bidi w:val="0"/>
        <w:adjustRightInd/>
        <w:spacing w:line="540" w:lineRule="exact"/>
        <w:ind w:firstLine="640" w:firstLineChars="200"/>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经三级医院或当地最高级别医院诊住院确诊，具备肌炎特异性抗体阳性，符合以下任何一项：①四肢近端肌痛肌无力；②肌电图示肌源性损害；③肌活检示肌纤维变性和炎症反应及结缔组织增生；④肌酶升高。</w:t>
      </w:r>
    </w:p>
    <w:p w14:paraId="2F85AB2D">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w:t>
      </w:r>
      <w:r>
        <w:rPr>
          <w:rFonts w:hint="default" w:ascii="仿宋" w:hAnsi="仿宋" w:eastAsia="仿宋" w:cs="仿宋"/>
          <w:b/>
          <w:bCs/>
          <w:color w:val="auto"/>
          <w:sz w:val="32"/>
          <w:szCs w:val="32"/>
          <w:lang w:val="en-US" w:eastAsia="zh-CN"/>
        </w:rPr>
        <w:t>十</w:t>
      </w:r>
      <w:r>
        <w:rPr>
          <w:rFonts w:hint="eastAsia" w:ascii="仿宋" w:hAnsi="仿宋" w:eastAsia="仿宋" w:cs="仿宋"/>
          <w:b/>
          <w:bCs/>
          <w:color w:val="auto"/>
          <w:sz w:val="32"/>
          <w:szCs w:val="32"/>
          <w:lang w:val="en-US" w:eastAsia="zh-CN"/>
        </w:rPr>
        <w:t>四</w:t>
      </w:r>
      <w:r>
        <w:rPr>
          <w:rFonts w:hint="default" w:ascii="仿宋" w:hAnsi="仿宋" w:eastAsia="仿宋" w:cs="仿宋"/>
          <w:b/>
          <w:bCs/>
          <w:color w:val="auto"/>
          <w:sz w:val="32"/>
          <w:szCs w:val="32"/>
          <w:lang w:val="en-US" w:eastAsia="zh-CN"/>
        </w:rPr>
        <w:t xml:space="preserve">、皮肌炎 </w:t>
      </w:r>
    </w:p>
    <w:p w14:paraId="196CDE19">
      <w:pPr>
        <w:keepNext w:val="0"/>
        <w:keepLines w:val="0"/>
        <w:pageBreakBefore w:val="0"/>
        <w:kinsoku/>
        <w:wordWrap/>
        <w:overflowPunct/>
        <w:topLinePunct w:val="0"/>
        <w:autoSpaceDE/>
        <w:autoSpaceDN/>
        <w:bidi w:val="0"/>
        <w:adjustRightInd/>
        <w:spacing w:line="540" w:lineRule="exact"/>
        <w:ind w:firstLine="640" w:firstLineChars="200"/>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经三级医院或当地最高级别医院住院确诊，符合下列情况之一：①肌炎特异性抗体阳性；②特征性皮疹。</w:t>
      </w:r>
    </w:p>
    <w:p w14:paraId="5839BC6A">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w:t>
      </w:r>
      <w:r>
        <w:rPr>
          <w:rFonts w:hint="default" w:ascii="仿宋" w:hAnsi="仿宋" w:eastAsia="仿宋" w:cs="仿宋"/>
          <w:b/>
          <w:bCs/>
          <w:color w:val="auto"/>
          <w:sz w:val="32"/>
          <w:szCs w:val="32"/>
          <w:lang w:val="en-US" w:eastAsia="zh-CN"/>
        </w:rPr>
        <w:t>十</w:t>
      </w:r>
      <w:r>
        <w:rPr>
          <w:rFonts w:hint="eastAsia" w:ascii="仿宋" w:hAnsi="仿宋" w:eastAsia="仿宋" w:cs="仿宋"/>
          <w:b/>
          <w:bCs/>
          <w:color w:val="auto"/>
          <w:sz w:val="32"/>
          <w:szCs w:val="32"/>
          <w:lang w:val="en-US" w:eastAsia="zh-CN"/>
        </w:rPr>
        <w:t>五</w:t>
      </w:r>
      <w:r>
        <w:rPr>
          <w:rFonts w:hint="default" w:ascii="仿宋" w:hAnsi="仿宋" w:eastAsia="仿宋" w:cs="仿宋"/>
          <w:b/>
          <w:bCs/>
          <w:color w:val="auto"/>
          <w:sz w:val="32"/>
          <w:szCs w:val="32"/>
          <w:lang w:val="en-US" w:eastAsia="zh-CN"/>
        </w:rPr>
        <w:t xml:space="preserve">、结节性多动脉炎 </w:t>
      </w:r>
    </w:p>
    <w:p w14:paraId="68B83C2A">
      <w:pPr>
        <w:keepNext w:val="0"/>
        <w:keepLines w:val="0"/>
        <w:pageBreakBefore w:val="0"/>
        <w:kinsoku/>
        <w:wordWrap/>
        <w:overflowPunct/>
        <w:topLinePunct w:val="0"/>
        <w:autoSpaceDE/>
        <w:autoSpaceDN/>
        <w:bidi w:val="0"/>
        <w:adjustRightInd/>
        <w:spacing w:line="540" w:lineRule="exact"/>
        <w:ind w:firstLine="640" w:firstLineChars="200"/>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经三级医院或当地最高级别医院住院确诊，符合下列情况之一：①动脉造影显示动脉梗塞或动脉瘤形成；②B超或 MRI发现受累血管狭窄、闭塞或动脉瘤形成。</w:t>
      </w:r>
    </w:p>
    <w:p w14:paraId="59C658F9">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三十六、</w:t>
      </w:r>
      <w:r>
        <w:rPr>
          <w:rFonts w:hint="default" w:ascii="仿宋" w:hAnsi="仿宋" w:eastAsia="仿宋" w:cs="仿宋"/>
          <w:b/>
          <w:bCs/>
          <w:color w:val="auto"/>
          <w:sz w:val="32"/>
          <w:szCs w:val="32"/>
          <w:lang w:val="en-US" w:eastAsia="zh-CN"/>
        </w:rPr>
        <w:t xml:space="preserve">脑瘫 </w:t>
      </w:r>
    </w:p>
    <w:p w14:paraId="6548673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经二级及以上医院诊断为脑性瘫痪，年龄≤14周岁，需长期门诊康复治疗的。</w:t>
      </w:r>
    </w:p>
    <w:p w14:paraId="45CFE6E3">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三十七</w:t>
      </w:r>
      <w:r>
        <w:rPr>
          <w:rFonts w:hint="default" w:ascii="仿宋" w:hAnsi="仿宋" w:eastAsia="仿宋" w:cs="仿宋"/>
          <w:b/>
          <w:bCs/>
          <w:color w:val="auto"/>
          <w:sz w:val="32"/>
          <w:szCs w:val="32"/>
          <w:lang w:val="en-US" w:eastAsia="zh-CN"/>
        </w:rPr>
        <w:t xml:space="preserve">、肝硬化 </w:t>
      </w:r>
    </w:p>
    <w:p w14:paraId="70C683E6">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经二级及以上医院确诊各种原因导致的肝硬化，并符合下列中两项的： </w:t>
      </w:r>
    </w:p>
    <w:p w14:paraId="15143003">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1．肝功能异常：白蛋白＜35g/L、ALT、AST或 ALP、GGT </w:t>
      </w:r>
    </w:p>
    <w:p w14:paraId="123E3B63">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高于正常值，或胆红素指标明显升高； </w:t>
      </w:r>
    </w:p>
    <w:p w14:paraId="2D32A6B7">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2．B超或 CT：肝裂增宽，门脾静脉增宽，左右叶比例失调，肝表面凹凸不平，脾大，腹水等； </w:t>
      </w:r>
    </w:p>
    <w:p w14:paraId="752BBCFA">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3．胃镜或钡餐：食管静脉曲张或食管胃底静脉曲张； </w:t>
      </w:r>
    </w:p>
    <w:p w14:paraId="68DEE9E8">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4．肝穿刺：有假小叶形成或纤维化表现； </w:t>
      </w:r>
    </w:p>
    <w:p w14:paraId="03611DD6">
      <w:pPr>
        <w:keepNext w:val="0"/>
        <w:keepLines w:val="0"/>
        <w:pageBreakBefore w:val="0"/>
        <w:kinsoku/>
        <w:wordWrap/>
        <w:overflowPunct/>
        <w:topLinePunct w:val="0"/>
        <w:autoSpaceDE/>
        <w:autoSpaceDN/>
        <w:bidi w:val="0"/>
        <w:adjustRightInd/>
        <w:spacing w:line="540" w:lineRule="exact"/>
        <w:ind w:firstLine="640" w:firstLineChars="200"/>
        <w:rPr>
          <w:rFonts w:hint="default"/>
          <w:lang w:val="en-US" w:eastAsia="zh-CN"/>
        </w:rPr>
      </w:pPr>
      <w:r>
        <w:rPr>
          <w:rFonts w:hint="default" w:ascii="仿宋" w:hAnsi="仿宋" w:eastAsia="仿宋" w:cs="仿宋"/>
          <w:b w:val="0"/>
          <w:bCs w:val="0"/>
          <w:color w:val="auto"/>
          <w:sz w:val="32"/>
          <w:szCs w:val="32"/>
          <w:lang w:val="en-US" w:eastAsia="zh-CN"/>
        </w:rPr>
        <w:t>5．B超肝脏弹性成像测定值高于正常参考值。</w:t>
      </w:r>
    </w:p>
    <w:p w14:paraId="6A9FA07E">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default" w:ascii="仿宋" w:hAnsi="仿宋" w:eastAsia="仿宋" w:cs="仿宋"/>
          <w:b/>
          <w:bCs/>
          <w:color w:val="auto"/>
          <w:sz w:val="32"/>
          <w:szCs w:val="32"/>
          <w:lang w:val="en-US" w:eastAsia="zh-CN"/>
        </w:rPr>
        <w:t>三十</w:t>
      </w:r>
      <w:r>
        <w:rPr>
          <w:rFonts w:hint="eastAsia" w:ascii="仿宋" w:hAnsi="仿宋" w:eastAsia="仿宋" w:cs="仿宋"/>
          <w:b/>
          <w:bCs/>
          <w:color w:val="auto"/>
          <w:sz w:val="32"/>
          <w:szCs w:val="32"/>
          <w:lang w:val="en-US" w:eastAsia="zh-CN"/>
        </w:rPr>
        <w:t>八</w:t>
      </w:r>
      <w:r>
        <w:rPr>
          <w:rFonts w:hint="default" w:ascii="仿宋" w:hAnsi="仿宋" w:eastAsia="仿宋" w:cs="仿宋"/>
          <w:b/>
          <w:bCs/>
          <w:color w:val="auto"/>
          <w:sz w:val="32"/>
          <w:szCs w:val="32"/>
          <w:lang w:val="en-US" w:eastAsia="zh-CN"/>
        </w:rPr>
        <w:t xml:space="preserve">、精神障碍 </w:t>
      </w:r>
    </w:p>
    <w:p w14:paraId="52FDA2BE">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1．经精神专科医院确诊的下列精神疾病： </w:t>
      </w:r>
    </w:p>
    <w:p w14:paraId="12CE9267">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①精神分裂症、脑器质性精神障碍、双相情感障碍、分裂情感性障碍、妄想性障碍； </w:t>
      </w:r>
    </w:p>
    <w:p w14:paraId="46D4CD4C">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②慢性难治性抑郁症、难治性强迫症、躁狂症、多动症、儿童孤独症； </w:t>
      </w:r>
    </w:p>
    <w:p w14:paraId="592FA148">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③偏执性精神病、癫痫性精神病、精神发育迟缓伴发精神障碍；</w:t>
      </w:r>
    </w:p>
    <w:p w14:paraId="3109C02D">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④精神活性物质所致的精神障碍。 </w:t>
      </w:r>
    </w:p>
    <w:p w14:paraId="7C6DD707">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2．对于“心境障碍”或“抑郁障碍”需精神专科医院出具证明提示严重程度； </w:t>
      </w:r>
    </w:p>
    <w:p w14:paraId="34AC05F3">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3．上述疾病需提供精神专科医院的诊断证明或出院小结。 </w:t>
      </w:r>
    </w:p>
    <w:p w14:paraId="54BFC4EE">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w:t>
      </w:r>
      <w:r>
        <w:rPr>
          <w:rFonts w:hint="default" w:ascii="仿宋" w:hAnsi="仿宋" w:eastAsia="仿宋" w:cs="仿宋"/>
          <w:b/>
          <w:bCs/>
          <w:color w:val="auto"/>
          <w:sz w:val="32"/>
          <w:szCs w:val="32"/>
          <w:lang w:val="en-US" w:eastAsia="zh-CN"/>
        </w:rPr>
        <w:t>十</w:t>
      </w:r>
      <w:r>
        <w:rPr>
          <w:rFonts w:hint="eastAsia" w:ascii="仿宋" w:hAnsi="仿宋" w:eastAsia="仿宋" w:cs="仿宋"/>
          <w:b/>
          <w:bCs/>
          <w:color w:val="auto"/>
          <w:sz w:val="32"/>
          <w:szCs w:val="32"/>
          <w:lang w:val="en-US" w:eastAsia="zh-CN"/>
        </w:rPr>
        <w:t>九</w:t>
      </w:r>
      <w:r>
        <w:rPr>
          <w:rFonts w:hint="default" w:ascii="仿宋" w:hAnsi="仿宋" w:eastAsia="仿宋" w:cs="仿宋"/>
          <w:b/>
          <w:bCs/>
          <w:color w:val="auto"/>
          <w:sz w:val="32"/>
          <w:szCs w:val="32"/>
          <w:lang w:val="en-US" w:eastAsia="zh-CN"/>
        </w:rPr>
        <w:t xml:space="preserve">、ANCA相关血管炎 </w:t>
      </w:r>
    </w:p>
    <w:p w14:paraId="60319570">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经三级医院或当地最高级别医院住院确诊，MPO-ANCA或 PR3-ANCA阳性，符合下列 4项中的 1项： </w:t>
      </w:r>
    </w:p>
    <w:p w14:paraId="0C42DA6B">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1．鼻肺肾三联征； </w:t>
      </w:r>
    </w:p>
    <w:p w14:paraId="31CEF02A">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2．肺肾累及； </w:t>
      </w:r>
    </w:p>
    <w:p w14:paraId="7731040A">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3．鼻息肉、哮喘、肺非固定性浸润； </w:t>
      </w:r>
    </w:p>
    <w:p w14:paraId="14BBE29E">
      <w:pPr>
        <w:keepNext w:val="0"/>
        <w:keepLines w:val="0"/>
        <w:pageBreakBefore w:val="0"/>
        <w:kinsoku/>
        <w:wordWrap/>
        <w:overflowPunct/>
        <w:topLinePunct w:val="0"/>
        <w:autoSpaceDE/>
        <w:autoSpaceDN/>
        <w:bidi w:val="0"/>
        <w:adjustRightInd/>
        <w:spacing w:line="540" w:lineRule="exact"/>
        <w:ind w:firstLine="640" w:firstLineChars="200"/>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4．病理报告证实。</w:t>
      </w:r>
    </w:p>
    <w:p w14:paraId="2949F398">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四十</w:t>
      </w:r>
      <w:r>
        <w:rPr>
          <w:rFonts w:hint="default" w:ascii="仿宋" w:hAnsi="仿宋" w:eastAsia="仿宋" w:cs="仿宋"/>
          <w:b/>
          <w:bCs/>
          <w:color w:val="auto"/>
          <w:sz w:val="32"/>
          <w:szCs w:val="32"/>
          <w:lang w:val="en-US" w:eastAsia="zh-CN"/>
        </w:rPr>
        <w:t>、心脏瓣膜置换术后</w:t>
      </w:r>
      <w:r>
        <w:rPr>
          <w:rFonts w:hint="default" w:ascii="仿宋" w:hAnsi="仿宋" w:eastAsia="仿宋" w:cs="仿宋"/>
          <w:b w:val="0"/>
          <w:bCs w:val="0"/>
          <w:color w:val="auto"/>
          <w:sz w:val="32"/>
          <w:szCs w:val="32"/>
          <w:lang w:val="en-US" w:eastAsia="zh-CN"/>
        </w:rPr>
        <w:t xml:space="preserve"> </w:t>
      </w:r>
    </w:p>
    <w:p w14:paraId="419B1DC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心脏瓣膜置换术后，需长期进行抗凝治疗的，需提供出院记录和手术记录单。</w:t>
      </w:r>
    </w:p>
    <w:p w14:paraId="6606F244">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四十一、</w:t>
      </w:r>
      <w:r>
        <w:rPr>
          <w:rFonts w:hint="default" w:ascii="仿宋" w:hAnsi="仿宋" w:eastAsia="仿宋" w:cs="仿宋"/>
          <w:b/>
          <w:bCs/>
          <w:color w:val="auto"/>
          <w:sz w:val="32"/>
          <w:szCs w:val="32"/>
          <w:lang w:val="en-US" w:eastAsia="zh-CN"/>
        </w:rPr>
        <w:t xml:space="preserve">血管支架植入术后 </w:t>
      </w:r>
    </w:p>
    <w:p w14:paraId="53CEE285">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b w:val="0"/>
          <w:bCs w:val="0"/>
          <w:color w:val="auto"/>
          <w:sz w:val="32"/>
          <w:szCs w:val="32"/>
          <w:lang w:val="en-US" w:eastAsia="zh-CN"/>
        </w:rPr>
      </w:pPr>
      <w:r>
        <w:rPr>
          <w:rFonts w:hint="default" w:ascii="Times New Roman" w:hAnsi="Times New Roman" w:eastAsia="方正仿宋_GBK" w:cs="Times New Roman"/>
          <w:color w:val="auto"/>
          <w:sz w:val="32"/>
          <w:szCs w:val="32"/>
        </w:rPr>
        <w:t>血管支架（含球囊</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外周血管支架</w:t>
      </w:r>
      <w:r>
        <w:rPr>
          <w:rFonts w:hint="eastAsia" w:ascii="Times New Roman" w:hAnsi="Times New Roman" w:eastAsia="方正仿宋_GBK" w:cs="Times New Roman"/>
          <w:color w:val="auto"/>
          <w:sz w:val="32"/>
          <w:szCs w:val="32"/>
          <w:lang w:eastAsia="zh-CN"/>
        </w:rPr>
        <w:t>等</w:t>
      </w:r>
      <w:r>
        <w:rPr>
          <w:rFonts w:hint="default" w:ascii="Times New Roman" w:hAnsi="Times New Roman" w:eastAsia="方正仿宋_GBK" w:cs="Times New Roman"/>
          <w:color w:val="auto"/>
          <w:sz w:val="32"/>
          <w:szCs w:val="32"/>
        </w:rPr>
        <w:t>）植入术后，需进行抗凝治疗的，需提供出院记录和手术记录单。</w:t>
      </w:r>
      <w:r>
        <w:rPr>
          <w:rFonts w:hint="default" w:ascii="仿宋" w:hAnsi="仿宋" w:eastAsia="仿宋" w:cs="仿宋"/>
          <w:b w:val="0"/>
          <w:bCs w:val="0"/>
          <w:color w:val="auto"/>
          <w:sz w:val="32"/>
          <w:szCs w:val="32"/>
          <w:lang w:val="en-US" w:eastAsia="zh-CN"/>
        </w:rPr>
        <w:t xml:space="preserve"> </w:t>
      </w:r>
    </w:p>
    <w:p w14:paraId="48D802DE">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四十二</w:t>
      </w:r>
      <w:r>
        <w:rPr>
          <w:rFonts w:hint="default" w:ascii="仿宋" w:hAnsi="仿宋" w:eastAsia="仿宋" w:cs="仿宋"/>
          <w:b/>
          <w:bCs/>
          <w:color w:val="auto"/>
          <w:sz w:val="32"/>
          <w:szCs w:val="32"/>
          <w:lang w:val="en-US" w:eastAsia="zh-CN"/>
        </w:rPr>
        <w:t xml:space="preserve">、心脏冠脉搭桥术后 </w:t>
      </w:r>
    </w:p>
    <w:p w14:paraId="1858C9A0">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冠脉搭桥（支架）术后需长期行抗凝治疗的患者。 </w:t>
      </w:r>
    </w:p>
    <w:p w14:paraId="4D34CC45">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本病与冠心病待遇不重复享受</w:t>
      </w:r>
      <w:r>
        <w:rPr>
          <w:rFonts w:hint="eastAsia" w:ascii="仿宋" w:hAnsi="仿宋" w:eastAsia="仿宋" w:cs="仿宋"/>
          <w:b w:val="0"/>
          <w:bCs w:val="0"/>
          <w:color w:val="auto"/>
          <w:sz w:val="32"/>
          <w:szCs w:val="32"/>
          <w:lang w:val="en-US" w:eastAsia="zh-CN"/>
        </w:rPr>
        <w:t>。</w:t>
      </w:r>
    </w:p>
    <w:p w14:paraId="3C8B4229">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color w:val="auto"/>
          <w:kern w:val="2"/>
          <w:sz w:val="32"/>
          <w:szCs w:val="24"/>
          <w:lang w:val="en-US" w:eastAsia="zh-CN" w:bidi="ar-SA"/>
        </w:rPr>
      </w:pPr>
      <w:r>
        <w:rPr>
          <w:rFonts w:hint="eastAsia" w:ascii="仿宋" w:hAnsi="仿宋" w:eastAsia="仿宋" w:cs="仿宋"/>
          <w:b/>
          <w:bCs/>
          <w:color w:val="auto"/>
          <w:kern w:val="2"/>
          <w:sz w:val="32"/>
          <w:szCs w:val="24"/>
          <w:lang w:val="en-US" w:eastAsia="zh-CN" w:bidi="ar-SA"/>
        </w:rPr>
        <w:t>四十三、进行性肌营养不良症</w:t>
      </w:r>
    </w:p>
    <w:p w14:paraId="5D09974D">
      <w:pPr>
        <w:pStyle w:val="2"/>
        <w:numPr>
          <w:ilvl w:val="1"/>
          <w:numId w:val="0"/>
        </w:numPr>
        <w:ind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1.幼儿期运动发育轻度迟滞，儿童期(5~6岁)运动能力开始下降，并出现步态异常、跟腱挛缩、腰椎前凸等变化，查体可见明显双腓肠肌假肥大现象;</w:t>
      </w:r>
    </w:p>
    <w:p w14:paraId="3361B099">
      <w:pPr>
        <w:pStyle w:val="2"/>
        <w:numPr>
          <w:ilvl w:val="1"/>
          <w:numId w:val="0"/>
        </w:numPr>
        <w:ind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2.结合血肌酶谱明显升高、肌电图呈肌源性损害，可临床疑诊 DMD;</w:t>
      </w:r>
    </w:p>
    <w:p w14:paraId="08AC9CBF">
      <w:pPr>
        <w:pStyle w:val="2"/>
        <w:numPr>
          <w:ilvl w:val="1"/>
          <w:numId w:val="0"/>
        </w:numPr>
        <w:ind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3.分子遗传学确诊报告(如有基因检测报告，可不提供肌电图检查)。</w:t>
      </w:r>
    </w:p>
    <w:p w14:paraId="4D91C475">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eastAsia="方正仿宋_GBK" w:cs="方正仿宋_GBK"/>
          <w:color w:val="auto"/>
          <w:kern w:val="2"/>
          <w:sz w:val="32"/>
          <w:szCs w:val="32"/>
          <w:lang w:val="en-US" w:eastAsia="zh-CN" w:bidi="ar-SA"/>
        </w:rPr>
      </w:pPr>
      <w:r>
        <w:rPr>
          <w:rFonts w:hint="eastAsia" w:ascii="仿宋" w:hAnsi="仿宋" w:eastAsia="仿宋" w:cs="仿宋"/>
          <w:b/>
          <w:bCs/>
          <w:color w:val="auto"/>
          <w:kern w:val="2"/>
          <w:sz w:val="32"/>
          <w:szCs w:val="24"/>
          <w:lang w:val="en-US" w:eastAsia="zh-CN" w:bidi="ar-SA"/>
        </w:rPr>
        <w:t>四十四、严重性春季角结膜炎</w:t>
      </w:r>
    </w:p>
    <w:p w14:paraId="30BE5D8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outlineLvl w:val="9"/>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需经当地最高级别医院眼科或二级以上专科医院确诊。</w:t>
      </w:r>
    </w:p>
    <w:p w14:paraId="26434D2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outlineLvl w:val="9"/>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1</w:t>
      </w:r>
      <w:r>
        <w:rPr>
          <w:rFonts w:hint="eastAsia" w:eastAsia="方正仿宋_GBK" w:cs="方正仿宋_GBK"/>
          <w:color w:val="auto"/>
          <w:kern w:val="2"/>
          <w:sz w:val="32"/>
          <w:szCs w:val="32"/>
          <w:lang w:val="en-US" w:eastAsia="zh-CN" w:bidi="ar-SA"/>
        </w:rPr>
        <w:t>．</w:t>
      </w:r>
      <w:r>
        <w:rPr>
          <w:rFonts w:hint="eastAsia" w:ascii="Times New Roman" w:hAnsi="Times New Roman" w:eastAsia="方正仿宋_GBK" w:cs="方正仿宋_GBK"/>
          <w:color w:val="auto"/>
          <w:kern w:val="2"/>
          <w:sz w:val="32"/>
          <w:szCs w:val="32"/>
          <w:lang w:val="en-US" w:eastAsia="zh-CN" w:bidi="ar-SA"/>
        </w:rPr>
        <w:t>典型症状包括：发痒、发红和流泪，其他常见特征包括视力模糊、畏光、灼热，以及特有的绳状黏液和浆液性分泌物；中度到重度的结膜充血、轻度到中度的结膜肿胀、异物感和疼痛。在晨起时表现明显，导致所谓的“早晨痛苦”。</w:t>
      </w:r>
    </w:p>
    <w:p w14:paraId="5663258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outlineLvl w:val="9"/>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2</w:t>
      </w:r>
      <w:r>
        <w:rPr>
          <w:rFonts w:hint="eastAsia" w:eastAsia="方正仿宋_GBK" w:cs="方正仿宋_GBK"/>
          <w:color w:val="auto"/>
          <w:kern w:val="2"/>
          <w:sz w:val="32"/>
          <w:szCs w:val="32"/>
          <w:lang w:val="en-US" w:eastAsia="zh-CN" w:bidi="ar-SA"/>
        </w:rPr>
        <w:t>．</w:t>
      </w:r>
      <w:r>
        <w:rPr>
          <w:rFonts w:hint="eastAsia" w:ascii="Times New Roman" w:hAnsi="Times New Roman" w:eastAsia="方正仿宋_GBK" w:cs="方正仿宋_GBK"/>
          <w:color w:val="auto"/>
          <w:kern w:val="2"/>
          <w:sz w:val="32"/>
          <w:szCs w:val="32"/>
          <w:lang w:val="en-US" w:eastAsia="zh-CN" w:bidi="ar-SA"/>
        </w:rPr>
        <w:t>典型体征可能包括：上睑乳头、角膜损害、Horner-Trantas结节。（至少一种）</w:t>
      </w:r>
    </w:p>
    <w:p w14:paraId="7F1D6A8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outlineLvl w:val="9"/>
        <w:rPr>
          <w:rFonts w:hint="eastAsia" w:ascii="Times New Roman" w:hAnsi="Times New Roman" w:cs="Times New Roman"/>
          <w:color w:val="auto"/>
          <w:kern w:val="2"/>
          <w:sz w:val="32"/>
          <w:szCs w:val="24"/>
          <w:lang w:val="en-US" w:eastAsia="zh-CN" w:bidi="ar-SA"/>
        </w:rPr>
      </w:pPr>
      <w:r>
        <w:rPr>
          <w:rFonts w:hint="eastAsia" w:ascii="Times New Roman" w:hAnsi="Times New Roman" w:eastAsia="方正仿宋_GBK" w:cs="方正仿宋_GBK"/>
          <w:color w:val="auto"/>
          <w:kern w:val="2"/>
          <w:sz w:val="32"/>
          <w:szCs w:val="32"/>
          <w:lang w:val="en-US" w:eastAsia="zh-CN" w:bidi="ar-SA"/>
        </w:rPr>
        <w:t>3</w:t>
      </w:r>
      <w:r>
        <w:rPr>
          <w:rFonts w:hint="eastAsia" w:eastAsia="方正仿宋_GBK" w:cs="方正仿宋_GBK"/>
          <w:color w:val="auto"/>
          <w:kern w:val="2"/>
          <w:sz w:val="32"/>
          <w:szCs w:val="32"/>
          <w:lang w:val="en-US" w:eastAsia="zh-CN" w:bidi="ar-SA"/>
        </w:rPr>
        <w:t>．</w:t>
      </w:r>
      <w:r>
        <w:rPr>
          <w:rFonts w:hint="eastAsia" w:ascii="Times New Roman" w:hAnsi="Times New Roman" w:eastAsia="方正仿宋_GBK" w:cs="方正仿宋_GBK"/>
          <w:color w:val="auto"/>
          <w:kern w:val="2"/>
          <w:sz w:val="32"/>
          <w:szCs w:val="32"/>
          <w:lang w:val="en-US" w:eastAsia="zh-CN" w:bidi="ar-SA"/>
        </w:rPr>
        <w:t>有条件的可选做实验室检查。</w:t>
      </w:r>
    </w:p>
    <w:p w14:paraId="514A9202">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color w:val="auto"/>
          <w:kern w:val="2"/>
          <w:sz w:val="32"/>
          <w:szCs w:val="24"/>
          <w:lang w:val="en-US" w:eastAsia="zh-CN" w:bidi="ar-SA"/>
        </w:rPr>
      </w:pPr>
      <w:r>
        <w:rPr>
          <w:rFonts w:hint="eastAsia" w:ascii="仿宋" w:hAnsi="仿宋" w:eastAsia="仿宋" w:cs="仿宋"/>
          <w:b/>
          <w:bCs/>
          <w:color w:val="auto"/>
          <w:kern w:val="2"/>
          <w:sz w:val="32"/>
          <w:szCs w:val="24"/>
          <w:lang w:val="en-US" w:eastAsia="zh-CN" w:bidi="ar-SA"/>
        </w:rPr>
        <w:t>四十五、慢性荨麻疹</w:t>
      </w:r>
    </w:p>
    <w:p w14:paraId="3656DD6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outlineLvl w:val="9"/>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需经当地最高级别医院皮肤专科确诊。</w:t>
      </w:r>
    </w:p>
    <w:p w14:paraId="240B6AC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outlineLvl w:val="9"/>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1</w:t>
      </w:r>
      <w:r>
        <w:rPr>
          <w:rFonts w:hint="eastAsia" w:eastAsia="方正仿宋_GBK" w:cs="方正仿宋_GBK"/>
          <w:color w:val="auto"/>
          <w:kern w:val="2"/>
          <w:sz w:val="32"/>
          <w:szCs w:val="32"/>
          <w:lang w:val="en-US" w:eastAsia="zh-CN" w:bidi="ar-SA"/>
        </w:rPr>
        <w:t>．</w:t>
      </w:r>
      <w:r>
        <w:rPr>
          <w:rFonts w:hint="eastAsia" w:ascii="Times New Roman" w:hAnsi="Times New Roman" w:eastAsia="方正仿宋_GBK" w:cs="方正仿宋_GBK"/>
          <w:color w:val="auto"/>
          <w:kern w:val="2"/>
          <w:sz w:val="32"/>
          <w:szCs w:val="32"/>
          <w:lang w:val="en-US" w:eastAsia="zh-CN" w:bidi="ar-SA"/>
        </w:rPr>
        <w:t>反复出现红斑风团伴瘙痒，每周超过2次；</w:t>
      </w:r>
    </w:p>
    <w:p w14:paraId="7AD055B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outlineLvl w:val="9"/>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2</w:t>
      </w:r>
      <w:r>
        <w:rPr>
          <w:rFonts w:hint="eastAsia" w:eastAsia="方正仿宋_GBK" w:cs="方正仿宋_GBK"/>
          <w:color w:val="auto"/>
          <w:kern w:val="2"/>
          <w:sz w:val="32"/>
          <w:szCs w:val="32"/>
          <w:lang w:val="en-US" w:eastAsia="zh-CN" w:bidi="ar-SA"/>
        </w:rPr>
        <w:t>．</w:t>
      </w:r>
      <w:r>
        <w:rPr>
          <w:rFonts w:hint="eastAsia" w:ascii="Times New Roman" w:hAnsi="Times New Roman" w:eastAsia="方正仿宋_GBK" w:cs="方正仿宋_GBK"/>
          <w:color w:val="auto"/>
          <w:kern w:val="2"/>
          <w:sz w:val="32"/>
          <w:szCs w:val="32"/>
          <w:lang w:val="en-US" w:eastAsia="zh-CN" w:bidi="ar-SA"/>
        </w:rPr>
        <w:t>病程超过6周；</w:t>
      </w:r>
    </w:p>
    <w:p w14:paraId="7759A17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outlineLvl w:val="9"/>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3</w:t>
      </w:r>
      <w:r>
        <w:rPr>
          <w:rFonts w:hint="eastAsia" w:eastAsia="方正仿宋_GBK" w:cs="方正仿宋_GBK"/>
          <w:color w:val="auto"/>
          <w:kern w:val="2"/>
          <w:sz w:val="32"/>
          <w:szCs w:val="32"/>
          <w:lang w:val="en-US" w:eastAsia="zh-CN" w:bidi="ar-SA"/>
        </w:rPr>
        <w:t>．</w:t>
      </w:r>
      <w:r>
        <w:rPr>
          <w:rFonts w:hint="eastAsia" w:ascii="Times New Roman" w:hAnsi="Times New Roman" w:eastAsia="方正仿宋_GBK" w:cs="方正仿宋_GBK"/>
          <w:color w:val="auto"/>
          <w:kern w:val="2"/>
          <w:sz w:val="32"/>
          <w:szCs w:val="32"/>
          <w:lang w:val="en-US" w:eastAsia="zh-CN" w:bidi="ar-SA"/>
        </w:rPr>
        <w:t>可伴血管性水肿；</w:t>
      </w:r>
    </w:p>
    <w:p w14:paraId="34B58C4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outlineLvl w:val="9"/>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4</w:t>
      </w:r>
      <w:r>
        <w:rPr>
          <w:rFonts w:hint="eastAsia" w:eastAsia="方正仿宋_GBK" w:cs="方正仿宋_GBK"/>
          <w:color w:val="auto"/>
          <w:kern w:val="2"/>
          <w:sz w:val="32"/>
          <w:szCs w:val="32"/>
          <w:lang w:val="en-US" w:eastAsia="zh-CN" w:bidi="ar-SA"/>
        </w:rPr>
        <w:t>．</w:t>
      </w:r>
      <w:r>
        <w:rPr>
          <w:rFonts w:hint="eastAsia" w:ascii="Times New Roman" w:hAnsi="Times New Roman" w:eastAsia="方正仿宋_GBK" w:cs="方正仿宋_GBK"/>
          <w:color w:val="auto"/>
          <w:kern w:val="2"/>
          <w:sz w:val="32"/>
          <w:szCs w:val="32"/>
          <w:lang w:val="en-US" w:eastAsia="zh-CN" w:bidi="ar-SA"/>
        </w:rPr>
        <w:t>皮肤划痕试验可阳性；</w:t>
      </w:r>
    </w:p>
    <w:p w14:paraId="209A712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outlineLvl w:val="9"/>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5</w:t>
      </w:r>
      <w:r>
        <w:rPr>
          <w:rFonts w:hint="eastAsia" w:eastAsia="方正仿宋_GBK" w:cs="方正仿宋_GBK"/>
          <w:color w:val="auto"/>
          <w:kern w:val="2"/>
          <w:sz w:val="32"/>
          <w:szCs w:val="32"/>
          <w:lang w:val="en-US" w:eastAsia="zh-CN" w:bidi="ar-SA"/>
        </w:rPr>
        <w:t>．</w:t>
      </w:r>
      <w:r>
        <w:rPr>
          <w:rFonts w:hint="eastAsia" w:ascii="Times New Roman" w:hAnsi="Times New Roman" w:eastAsia="方正仿宋_GBK" w:cs="方正仿宋_GBK"/>
          <w:color w:val="auto"/>
          <w:kern w:val="2"/>
          <w:sz w:val="32"/>
          <w:szCs w:val="32"/>
          <w:lang w:val="en-US" w:eastAsia="zh-CN" w:bidi="ar-SA"/>
        </w:rPr>
        <w:t>对抗组胺药无应答或不耐受的慢性荨麻疹患者。</w:t>
      </w:r>
    </w:p>
    <w:p w14:paraId="15EA482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outlineLvl w:val="9"/>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符合条件1</w:t>
      </w:r>
      <w:r>
        <w:rPr>
          <w:rFonts w:hint="eastAsia" w:ascii="方正仿宋_GBK" w:hAnsi="方正仿宋_GBK" w:eastAsia="方正仿宋_GBK" w:cs="方正仿宋_GBK"/>
          <w:color w:val="auto"/>
          <w:kern w:val="2"/>
          <w:sz w:val="32"/>
          <w:szCs w:val="32"/>
          <w:lang w:val="en-US" w:eastAsia="zh-CN" w:bidi="ar-SA"/>
        </w:rPr>
        <w:t>-</w:t>
      </w:r>
      <w:r>
        <w:rPr>
          <w:rFonts w:hint="eastAsia" w:ascii="Times New Roman" w:hAnsi="Times New Roman" w:eastAsia="方正仿宋_GBK" w:cs="方正仿宋_GBK"/>
          <w:color w:val="auto"/>
          <w:kern w:val="2"/>
          <w:sz w:val="32"/>
          <w:szCs w:val="32"/>
          <w:lang w:val="en-US" w:eastAsia="zh-CN" w:bidi="ar-SA"/>
        </w:rPr>
        <w:t>4的为慢性荨麻疹（普通型）；符合条件1</w:t>
      </w:r>
      <w:r>
        <w:rPr>
          <w:rFonts w:hint="eastAsia" w:ascii="方正仿宋_GBK" w:hAnsi="方正仿宋_GBK" w:eastAsia="方正仿宋_GBK" w:cs="方正仿宋_GBK"/>
          <w:color w:val="auto"/>
          <w:kern w:val="2"/>
          <w:sz w:val="32"/>
          <w:szCs w:val="32"/>
          <w:lang w:val="en-US" w:eastAsia="zh-CN" w:bidi="ar-SA"/>
        </w:rPr>
        <w:t>-</w:t>
      </w:r>
      <w:r>
        <w:rPr>
          <w:rFonts w:hint="eastAsia" w:ascii="Times New Roman" w:hAnsi="Times New Roman" w:eastAsia="方正仿宋_GBK" w:cs="方正仿宋_GBK"/>
          <w:color w:val="auto"/>
          <w:kern w:val="2"/>
          <w:sz w:val="32"/>
          <w:szCs w:val="32"/>
          <w:lang w:val="en-US" w:eastAsia="zh-CN" w:bidi="ar-SA"/>
        </w:rPr>
        <w:t>5的为慢性荨麻疹（难治型）。</w:t>
      </w:r>
    </w:p>
    <w:p w14:paraId="09BFD49B">
      <w:pPr>
        <w:pStyle w:val="2"/>
        <w:numPr>
          <w:ilvl w:val="1"/>
          <w:numId w:val="0"/>
        </w:numPr>
        <w:rPr>
          <w:rFonts w:hint="eastAsia" w:ascii="仿宋" w:hAnsi="仿宋" w:eastAsia="仿宋" w:cs="仿宋"/>
          <w:b/>
          <w:bCs/>
          <w:color w:val="auto"/>
          <w:kern w:val="2"/>
          <w:sz w:val="32"/>
          <w:szCs w:val="24"/>
          <w:lang w:val="en-US" w:eastAsia="zh-CN" w:bidi="ar-SA"/>
        </w:rPr>
      </w:pPr>
      <w:r>
        <w:rPr>
          <w:rFonts w:hint="eastAsia" w:ascii="仿宋" w:hAnsi="仿宋" w:eastAsia="仿宋" w:cs="仿宋"/>
          <w:b/>
          <w:bCs/>
          <w:color w:val="auto"/>
          <w:kern w:val="2"/>
          <w:sz w:val="32"/>
          <w:szCs w:val="24"/>
          <w:lang w:val="en-US" w:eastAsia="zh-CN" w:bidi="ar-SA"/>
        </w:rPr>
        <w:t>四十六、阵发性睡眠性血红蛋白尿</w:t>
      </w:r>
    </w:p>
    <w:p w14:paraId="75595B2B">
      <w:pPr>
        <w:pStyle w:val="2"/>
        <w:numPr>
          <w:ilvl w:val="1"/>
          <w:numId w:val="0"/>
        </w:numPr>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1.临床表现符合PNH;</w:t>
      </w:r>
    </w:p>
    <w:p w14:paraId="067B553E">
      <w:pPr>
        <w:pStyle w:val="2"/>
        <w:numPr>
          <w:ilvl w:val="1"/>
          <w:numId w:val="0"/>
        </w:numPr>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2.实验室检查:</w:t>
      </w:r>
    </w:p>
    <w:p w14:paraId="79B8B826">
      <w:pPr>
        <w:pStyle w:val="2"/>
        <w:numPr>
          <w:ilvl w:val="1"/>
          <w:numId w:val="0"/>
        </w:numPr>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(1)Ham试验、糖水试验、蛇毒因子溶血试验、尿潜血(或尿含铁血黄素)等试验中凡符合任何一种情况，即可诊断;</w:t>
      </w:r>
    </w:p>
    <w:p w14:paraId="41C578DA">
      <w:pPr>
        <w:pStyle w:val="2"/>
        <w:numPr>
          <w:ilvl w:val="1"/>
          <w:numId w:val="0"/>
        </w:numPr>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(2)流式细胞术检测发现:外周血中CD55或CD59阴性中性粒细胞或红细胞&gt;10%(5%~10%为可疑);</w:t>
      </w:r>
    </w:p>
    <w:p w14:paraId="488616E7">
      <w:pPr>
        <w:pStyle w:val="2"/>
        <w:numPr>
          <w:ilvl w:val="1"/>
          <w:numId w:val="0"/>
        </w:numPr>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临床表现符合，实验室检查具备(1)项或(2)项者皆可诊断。(1)、(2)两项可以相互佐证。</w:t>
      </w:r>
    </w:p>
    <w:p w14:paraId="366AFBE6">
      <w:pPr>
        <w:rPr>
          <w:rFonts w:hint="eastAsia" w:ascii="仿宋" w:hAnsi="仿宋" w:eastAsia="仿宋" w:cs="仿宋"/>
          <w:b/>
          <w:bCs/>
          <w:color w:val="auto"/>
          <w:kern w:val="2"/>
          <w:sz w:val="32"/>
          <w:szCs w:val="24"/>
          <w:lang w:val="en-US" w:eastAsia="zh-CN" w:bidi="ar-SA"/>
        </w:rPr>
      </w:pPr>
      <w:r>
        <w:rPr>
          <w:rFonts w:hint="eastAsia" w:ascii="仿宋" w:hAnsi="仿宋" w:eastAsia="仿宋" w:cs="仿宋"/>
          <w:b/>
          <w:bCs/>
          <w:color w:val="auto"/>
          <w:kern w:val="2"/>
          <w:sz w:val="32"/>
          <w:szCs w:val="24"/>
          <w:lang w:val="en-US" w:eastAsia="zh-CN" w:bidi="ar-SA"/>
        </w:rPr>
        <w:t>四十七、非典型溶血性尿毒症</w:t>
      </w:r>
    </w:p>
    <w:p w14:paraId="0B7BC334">
      <w:pPr>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1.存在典型的疾病三联征(微血管病性溶血性贫血、血小板减少症和急性肾功能衰竭);</w:t>
      </w:r>
    </w:p>
    <w:p w14:paraId="0F7F1ECE">
      <w:pPr>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2.存在补体相关基因突变，如:CFH、CD46、CFI、C3、 CFB、THBD、MCP、CFHR1、CFHR5和DGKE等或存在补体因子抗体;</w:t>
      </w:r>
    </w:p>
    <w:p w14:paraId="7CF12EA7">
      <w:pPr>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3.肾脏病理检查符合。</w:t>
      </w:r>
    </w:p>
    <w:p w14:paraId="19298AE2">
      <w:pPr>
        <w:pStyle w:val="2"/>
        <w:numPr>
          <w:ilvl w:val="1"/>
          <w:numId w:val="0"/>
        </w:numPr>
        <w:rPr>
          <w:rFonts w:hint="eastAsia" w:ascii="仿宋" w:hAnsi="仿宋" w:eastAsia="仿宋" w:cs="仿宋"/>
          <w:b/>
          <w:bCs/>
          <w:color w:val="auto"/>
          <w:kern w:val="2"/>
          <w:sz w:val="32"/>
          <w:szCs w:val="24"/>
          <w:lang w:val="en-US" w:eastAsia="zh-CN" w:bidi="ar-SA"/>
        </w:rPr>
      </w:pPr>
      <w:r>
        <w:rPr>
          <w:rFonts w:hint="eastAsia" w:ascii="仿宋" w:hAnsi="仿宋" w:eastAsia="仿宋" w:cs="仿宋"/>
          <w:b/>
          <w:bCs/>
          <w:color w:val="auto"/>
          <w:kern w:val="2"/>
          <w:sz w:val="32"/>
          <w:szCs w:val="24"/>
          <w:lang w:val="en-US" w:eastAsia="zh-CN" w:bidi="ar-SA"/>
        </w:rPr>
        <w:t>四十八、发作性睡病</w:t>
      </w:r>
    </w:p>
    <w:p w14:paraId="04E9AC73">
      <w:pPr>
        <w:pStyle w:val="2"/>
        <w:numPr>
          <w:ilvl w:val="1"/>
          <w:numId w:val="0"/>
        </w:numPr>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1.有嗜睡主诉或突发肌无力;</w:t>
      </w:r>
    </w:p>
    <w:p w14:paraId="73C8D815">
      <w:pPr>
        <w:pStyle w:val="2"/>
        <w:numPr>
          <w:ilvl w:val="1"/>
          <w:numId w:val="0"/>
        </w:numPr>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2.几乎每日反复发生白天小睡或进入睡眠，至少3个月;</w:t>
      </w:r>
    </w:p>
    <w:p w14:paraId="594C43A0">
      <w:pPr>
        <w:pStyle w:val="2"/>
        <w:numPr>
          <w:ilvl w:val="1"/>
          <w:numId w:val="0"/>
        </w:numPr>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3.情绪诱发的突然双侧姿势性肌张力丧失;</w:t>
      </w:r>
    </w:p>
    <w:p w14:paraId="06B93A99">
      <w:pPr>
        <w:pStyle w:val="2"/>
        <w:numPr>
          <w:ilvl w:val="1"/>
          <w:numId w:val="0"/>
        </w:numPr>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4.伴随特征:睡眠麻痹、睡前幻觉、自动行为、夜间频繁觉醒;</w:t>
      </w:r>
    </w:p>
    <w:p w14:paraId="2A35DBCB">
      <w:pPr>
        <w:pStyle w:val="2"/>
        <w:numPr>
          <w:ilvl w:val="1"/>
          <w:numId w:val="0"/>
        </w:numPr>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5.多导睡眠图(PSG)显示下面1个或多个特征:睡眠潜伏期&lt;10min;REM睡眠潜伏期&lt;20min;多次睡眠潜伏期试验(MSLT)平均潜伏期≤8min;出现≥2次的睡眠始发的REM 睡眠;</w:t>
      </w:r>
    </w:p>
    <w:p w14:paraId="2BDA2D36">
      <w:pPr>
        <w:pStyle w:val="2"/>
        <w:numPr>
          <w:ilvl w:val="1"/>
          <w:numId w:val="0"/>
        </w:numPr>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6.HLA 分型显示 DQBI*0602或DR2阳性;</w:t>
      </w:r>
    </w:p>
    <w:p w14:paraId="4BAF8C18">
      <w:pPr>
        <w:pStyle w:val="2"/>
        <w:numPr>
          <w:ilvl w:val="1"/>
          <w:numId w:val="0"/>
        </w:numPr>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7.临床症状不能用其它躯体、精神疾病解释。</w:t>
      </w:r>
    </w:p>
    <w:p w14:paraId="7686748F">
      <w:pPr>
        <w:rPr>
          <w:rFonts w:hint="eastAsia" w:ascii="仿宋" w:hAnsi="仿宋" w:eastAsia="仿宋" w:cs="仿宋"/>
          <w:b/>
          <w:bCs/>
          <w:color w:val="auto"/>
          <w:kern w:val="2"/>
          <w:sz w:val="32"/>
          <w:szCs w:val="24"/>
          <w:lang w:val="en-US" w:eastAsia="zh-CN" w:bidi="ar-SA"/>
        </w:rPr>
      </w:pPr>
      <w:r>
        <w:rPr>
          <w:rFonts w:hint="eastAsia" w:ascii="仿宋" w:hAnsi="仿宋" w:eastAsia="仿宋" w:cs="仿宋"/>
          <w:b/>
          <w:bCs/>
          <w:color w:val="auto"/>
          <w:kern w:val="2"/>
          <w:sz w:val="32"/>
          <w:szCs w:val="24"/>
          <w:lang w:val="en-US" w:eastAsia="zh-CN" w:bidi="ar-SA"/>
        </w:rPr>
        <w:t>四十九、低磷性佝偻病</w:t>
      </w:r>
    </w:p>
    <w:p w14:paraId="20A7FB73">
      <w:pPr>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1.典型的临床表现;</w:t>
      </w:r>
    </w:p>
    <w:p w14:paraId="5A1304E2">
      <w:pPr>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2.实验室检查:血磷水平显著降低，血钙正常或偏低，尿磷增加，肾磷阈(TmP/GFR)降低，血碱性磷酸酶水平升高，甲状旁腺素(parathyroid hormone，PTH)可正常或轻度升高，1,25(OH)2D 常较低(见于FGF23相关性低磷佝偻病患者),25( OH) D可正常或偏低，血FGF23水平升高;</w:t>
      </w:r>
    </w:p>
    <w:p w14:paraId="0263AB13">
      <w:pPr>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3.影像学表现:佝偻病性病变特征在长骨干骺端，骨骺生长板增厚膨出，干骺端增宽似杯状:骨骺端骨小梁紊乱、稀疏粗糙/边缘不齐，呈毛刷样;</w:t>
      </w:r>
    </w:p>
    <w:p w14:paraId="3F3F84DD">
      <w:pPr>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4.分子遗传学检测。</w:t>
      </w:r>
    </w:p>
    <w:p w14:paraId="7D58509D">
      <w:pPr>
        <w:pStyle w:val="2"/>
        <w:numPr>
          <w:ilvl w:val="1"/>
          <w:numId w:val="0"/>
        </w:numPr>
        <w:rPr>
          <w:rFonts w:hint="eastAsia" w:ascii="仿宋" w:hAnsi="仿宋" w:eastAsia="仿宋" w:cs="仿宋"/>
          <w:b/>
          <w:bCs/>
          <w:color w:val="auto"/>
          <w:kern w:val="2"/>
          <w:sz w:val="32"/>
          <w:szCs w:val="24"/>
          <w:lang w:val="en-US" w:eastAsia="zh-CN" w:bidi="ar-SA"/>
        </w:rPr>
      </w:pPr>
      <w:r>
        <w:rPr>
          <w:rFonts w:hint="eastAsia" w:ascii="仿宋" w:hAnsi="仿宋" w:eastAsia="仿宋" w:cs="仿宋"/>
          <w:b/>
          <w:bCs/>
          <w:color w:val="auto"/>
          <w:kern w:val="2"/>
          <w:sz w:val="32"/>
          <w:szCs w:val="24"/>
          <w:lang w:val="en-US" w:eastAsia="zh-CN" w:bidi="ar-SA"/>
        </w:rPr>
        <w:t>五十、短肠综合征</w:t>
      </w:r>
    </w:p>
    <w:p w14:paraId="1EF7A1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有明确的各种原因导致广泛小肠切除或旷置，残留肠道不能满足患者的营养或儿童生长需求的病因，分两部分:功能诊断包括身高体重和其他营养指标;解剖诊断包括手术记录或影像学或内镜检查结果。</w:t>
      </w:r>
    </w:p>
    <w:p w14:paraId="49913B01">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五十一、</w:t>
      </w:r>
      <w:r>
        <w:rPr>
          <w:rFonts w:hint="default" w:ascii="仿宋" w:hAnsi="仿宋" w:eastAsia="仿宋" w:cs="仿宋"/>
          <w:b/>
          <w:bCs/>
          <w:sz w:val="32"/>
          <w:szCs w:val="32"/>
          <w:highlight w:val="none"/>
          <w:lang w:val="en-US" w:eastAsia="zh-CN"/>
        </w:rPr>
        <w:t xml:space="preserve">肺动脉高压 </w:t>
      </w:r>
    </w:p>
    <w:p w14:paraId="734D0C2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有相关临床表现的WHO功能分级Ⅱ级</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Ⅲ级的第一大类肺动脉高压，经三级医院或当地最高级别医院确诊，并符合下列条件任意2条的：</w:t>
      </w:r>
    </w:p>
    <w:p w14:paraId="20586D4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方正仿宋_GBK"/>
          <w:color w:val="auto"/>
          <w:sz w:val="32"/>
          <w:szCs w:val="32"/>
          <w:highlight w:val="none"/>
          <w:lang w:eastAsia="zh-CN"/>
        </w:rPr>
      </w:pPr>
      <w:r>
        <w:rPr>
          <w:rFonts w:hint="eastAsia" w:ascii="Times New Roman" w:hAnsi="Times New Roman" w:eastAsia="方正仿宋_GBK"/>
          <w:color w:val="auto"/>
          <w:sz w:val="32"/>
          <w:szCs w:val="32"/>
          <w:highlight w:val="none"/>
        </w:rPr>
        <w:t>1</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olor w:val="auto"/>
          <w:sz w:val="32"/>
          <w:szCs w:val="32"/>
          <w:highlight w:val="none"/>
        </w:rPr>
        <w:t>右心导管检查：静息状态下，平均肺动脉压≥25mmHg，肺毛细血管楔压≤15mmHg</w:t>
      </w:r>
      <w:r>
        <w:rPr>
          <w:rFonts w:hint="eastAsia" w:ascii="Times New Roman" w:hAnsi="Times New Roman" w:eastAsia="方正仿宋_GBK"/>
          <w:color w:val="auto"/>
          <w:sz w:val="32"/>
          <w:szCs w:val="32"/>
          <w:highlight w:val="none"/>
          <w:lang w:eastAsia="zh-CN"/>
        </w:rPr>
        <w:t>；</w:t>
      </w:r>
    </w:p>
    <w:p w14:paraId="0DB861A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方正仿宋_GBK"/>
          <w:color w:val="auto"/>
          <w:sz w:val="32"/>
          <w:szCs w:val="32"/>
          <w:highlight w:val="none"/>
          <w:lang w:eastAsia="zh-CN"/>
        </w:rPr>
      </w:pPr>
      <w:r>
        <w:rPr>
          <w:rFonts w:hint="eastAsia" w:ascii="Times New Roman" w:hAnsi="Times New Roman" w:eastAsia="方正仿宋_GBK"/>
          <w:color w:val="auto"/>
          <w:sz w:val="32"/>
          <w:szCs w:val="32"/>
          <w:highlight w:val="none"/>
        </w:rPr>
        <w:t>2</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olor w:val="auto"/>
          <w:sz w:val="32"/>
          <w:szCs w:val="32"/>
          <w:highlight w:val="none"/>
        </w:rPr>
        <w:t>超声心动图检查：肺动脉收缩压≥40mmHg</w:t>
      </w:r>
      <w:r>
        <w:rPr>
          <w:rFonts w:hint="eastAsia" w:ascii="Times New Roman" w:hAnsi="Times New Roman" w:eastAsia="方正仿宋_GBK"/>
          <w:color w:val="auto"/>
          <w:sz w:val="32"/>
          <w:szCs w:val="32"/>
          <w:highlight w:val="none"/>
          <w:lang w:eastAsia="zh-CN"/>
        </w:rPr>
        <w:t>；</w:t>
      </w:r>
    </w:p>
    <w:p w14:paraId="336E0AF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highlight w:val="none"/>
          <w:lang w:val="en-US" w:eastAsia="zh-CN"/>
        </w:rPr>
      </w:pPr>
      <w:r>
        <w:rPr>
          <w:rFonts w:hint="eastAsia" w:ascii="Times New Roman" w:hAnsi="Times New Roman" w:eastAsia="方正仿宋_GBK"/>
          <w:color w:val="auto"/>
          <w:sz w:val="32"/>
          <w:szCs w:val="32"/>
          <w:highlight w:val="none"/>
        </w:rPr>
        <w:t>3</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olor w:val="auto"/>
          <w:sz w:val="32"/>
          <w:szCs w:val="32"/>
          <w:highlight w:val="none"/>
        </w:rPr>
        <w:t>胸片检查显示肺动脉高压症。</w:t>
      </w:r>
    </w:p>
    <w:p w14:paraId="4C2C96AC">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sz w:val="32"/>
          <w:szCs w:val="32"/>
          <w:lang w:val="en-US" w:eastAsia="zh-CN"/>
        </w:rPr>
      </w:pPr>
      <w:r>
        <w:rPr>
          <w:rFonts w:hint="eastAsia" w:ascii="仿宋" w:hAnsi="仿宋" w:eastAsia="仿宋" w:cs="仿宋"/>
          <w:b/>
          <w:bCs/>
          <w:color w:val="auto"/>
          <w:sz w:val="32"/>
          <w:szCs w:val="32"/>
          <w:lang w:val="en-US" w:eastAsia="zh-CN"/>
        </w:rPr>
        <w:t>五十二、</w:t>
      </w:r>
      <w:r>
        <w:rPr>
          <w:rFonts w:hint="default" w:ascii="仿宋" w:hAnsi="仿宋" w:eastAsia="仿宋" w:cs="仿宋"/>
          <w:b/>
          <w:bCs/>
          <w:sz w:val="32"/>
          <w:szCs w:val="32"/>
          <w:lang w:val="en-US" w:eastAsia="zh-CN"/>
        </w:rPr>
        <w:t xml:space="preserve">特发性肺纤维化 </w:t>
      </w:r>
    </w:p>
    <w:p w14:paraId="7FD7556F">
      <w:pPr>
        <w:ind w:firstLine="640" w:firstLineChars="200"/>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经三级及以上医疗机构确诊；提供影像学检测报告、肺功能检测报告或病理报告（3项中2项）。</w:t>
      </w:r>
    </w:p>
    <w:p w14:paraId="03E26789">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五十三、</w:t>
      </w:r>
      <w:r>
        <w:rPr>
          <w:rFonts w:hint="default" w:ascii="仿宋" w:hAnsi="仿宋" w:eastAsia="仿宋" w:cs="仿宋"/>
          <w:b/>
          <w:bCs/>
          <w:sz w:val="32"/>
          <w:szCs w:val="32"/>
          <w:lang w:val="en-US" w:eastAsia="zh-CN"/>
        </w:rPr>
        <w:t xml:space="preserve">克罗恩病 </w:t>
      </w:r>
    </w:p>
    <w:p w14:paraId="1874587C">
      <w:pPr>
        <w:ind w:firstLine="640" w:firstLineChars="200"/>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有克罗恩病的临床表现，经三级医院或当地最高级别医院综合检查后确诊。需提供肠镜、病理及影像学的相关检查报告。</w:t>
      </w:r>
    </w:p>
    <w:p w14:paraId="1E1C3C02">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五十四</w:t>
      </w:r>
      <w:r>
        <w:rPr>
          <w:rFonts w:hint="default" w:ascii="仿宋" w:hAnsi="仿宋" w:eastAsia="仿宋" w:cs="仿宋"/>
          <w:b/>
          <w:bCs/>
          <w:color w:val="auto"/>
          <w:sz w:val="32"/>
          <w:szCs w:val="32"/>
          <w:lang w:val="en-US" w:eastAsia="zh-CN"/>
        </w:rPr>
        <w:t xml:space="preserve">、慢性肾衰竭（尿毒症期） </w:t>
      </w:r>
    </w:p>
    <w:p w14:paraId="21DEAEA6">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下列条件之一，需门诊进行规范透析治疗的： </w:t>
      </w:r>
    </w:p>
    <w:p w14:paraId="3477398F">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1．非糖尿病慢性肾衰竭患者 GFR≤10ml/min，糖尿病慢性肾衰竭患者 GFR10～15ml/min； </w:t>
      </w:r>
    </w:p>
    <w:p w14:paraId="04BD77C7">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2．反复出现药物难以控制的高钾血症（血钾≥6.5mmol/L）或严重代谢性酸中毒（HCO3～≤13mmol/L）； </w:t>
      </w:r>
    </w:p>
    <w:p w14:paraId="488A0C36">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3．药物难以纠正的高血容量性心衰； </w:t>
      </w:r>
    </w:p>
    <w:p w14:paraId="7ED0EDB2">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4．尿毒症脑病； </w:t>
      </w:r>
    </w:p>
    <w:p w14:paraId="4541B36B">
      <w:pPr>
        <w:keepNext w:val="0"/>
        <w:keepLines w:val="0"/>
        <w:pageBreakBefore w:val="0"/>
        <w:kinsoku/>
        <w:wordWrap/>
        <w:overflowPunct/>
        <w:topLinePunct w:val="0"/>
        <w:autoSpaceDE/>
        <w:autoSpaceDN/>
        <w:bidi w:val="0"/>
        <w:adjustRightInd/>
        <w:spacing w:line="540" w:lineRule="exact"/>
        <w:ind w:firstLine="640" w:firstLineChars="200"/>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5．严重的消化道症状、消化道出血。</w:t>
      </w:r>
    </w:p>
    <w:p w14:paraId="1B5990F0">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五十五</w:t>
      </w:r>
      <w:r>
        <w:rPr>
          <w:rFonts w:hint="default" w:ascii="仿宋" w:hAnsi="仿宋" w:eastAsia="仿宋" w:cs="仿宋"/>
          <w:b/>
          <w:bCs/>
          <w:color w:val="auto"/>
          <w:sz w:val="32"/>
          <w:szCs w:val="32"/>
          <w:lang w:val="en-US" w:eastAsia="zh-CN"/>
        </w:rPr>
        <w:t xml:space="preserve">、肢端肥大症 </w:t>
      </w:r>
    </w:p>
    <w:p w14:paraId="47FA6213">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经二级及以上医院诊断确诊，需要长期使用生长抑素治疗的患者。免疫组化染色 GH（+），胰岛素生长因子-Ⅰ水平升高。 </w:t>
      </w:r>
    </w:p>
    <w:p w14:paraId="56D7120B">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五十六</w:t>
      </w:r>
      <w:r>
        <w:rPr>
          <w:rFonts w:hint="default" w:ascii="仿宋" w:hAnsi="仿宋" w:eastAsia="仿宋" w:cs="仿宋"/>
          <w:b/>
          <w:bCs/>
          <w:color w:val="auto"/>
          <w:sz w:val="32"/>
          <w:szCs w:val="32"/>
          <w:lang w:val="en-US" w:eastAsia="zh-CN"/>
        </w:rPr>
        <w:t xml:space="preserve">、肝豆状核变性 </w:t>
      </w:r>
    </w:p>
    <w:p w14:paraId="543B8B98">
      <w:pPr>
        <w:keepNext w:val="0"/>
        <w:keepLines w:val="0"/>
        <w:pageBreakBefore w:val="0"/>
        <w:kinsoku/>
        <w:wordWrap/>
        <w:overflowPunct/>
        <w:topLinePunct w:val="0"/>
        <w:autoSpaceDE/>
        <w:autoSpaceDN/>
        <w:bidi w:val="0"/>
        <w:adjustRightInd/>
        <w:spacing w:line="540" w:lineRule="exact"/>
        <w:ind w:firstLine="640" w:firstLineChars="200"/>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经住院或门诊确诊为肝豆状核变性，血清检查 CP降低，伴有头部 CT、MRI、肝功能等异常或 K-F环阳性、锥体外系症状、智力障碍或精神异常的表现。</w:t>
      </w:r>
    </w:p>
    <w:p w14:paraId="4B32B547">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五十七</w:t>
      </w:r>
      <w:r>
        <w:rPr>
          <w:rFonts w:hint="default" w:ascii="仿宋" w:hAnsi="仿宋" w:eastAsia="仿宋" w:cs="仿宋"/>
          <w:b/>
          <w:bCs/>
          <w:color w:val="auto"/>
          <w:sz w:val="32"/>
          <w:szCs w:val="32"/>
          <w:lang w:val="en-US" w:eastAsia="zh-CN"/>
        </w:rPr>
        <w:t xml:space="preserve">、多发性硬化 </w:t>
      </w:r>
    </w:p>
    <w:p w14:paraId="5258872B">
      <w:pPr>
        <w:pStyle w:val="2"/>
        <w:keepNext w:val="0"/>
        <w:keepLines w:val="0"/>
        <w:pageBreakBefore w:val="0"/>
        <w:widowControl w:val="0"/>
        <w:numPr>
          <w:ilvl w:val="1"/>
          <w:numId w:val="0"/>
        </w:numPr>
        <w:kinsoku/>
        <w:wordWrap/>
        <w:overflowPunct/>
        <w:topLinePunct w:val="0"/>
        <w:autoSpaceDE/>
        <w:autoSpaceDN/>
        <w:bidi w:val="0"/>
        <w:adjustRightInd/>
        <w:snapToGrid w:val="0"/>
        <w:ind w:firstLine="640" w:firstLineChars="200"/>
        <w:textAlignment w:val="auto"/>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经脑脊液和核磁共振相应检查等，当地最高级别医院住院诊断确诊。</w:t>
      </w:r>
    </w:p>
    <w:p w14:paraId="0CCA3DF0">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五十八</w:t>
      </w:r>
      <w:r>
        <w:rPr>
          <w:rFonts w:hint="default" w:ascii="仿宋" w:hAnsi="仿宋" w:eastAsia="仿宋" w:cs="仿宋"/>
          <w:b/>
          <w:bCs/>
          <w:color w:val="auto"/>
          <w:sz w:val="32"/>
          <w:szCs w:val="32"/>
          <w:lang w:val="en-US" w:eastAsia="zh-CN"/>
        </w:rPr>
        <w:t xml:space="preserve">、重度特应性皮炎 </w:t>
      </w:r>
    </w:p>
    <w:p w14:paraId="65C0880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color w:val="auto"/>
        </w:rPr>
      </w:pPr>
      <w:r>
        <w:rPr>
          <w:rFonts w:hint="default" w:ascii="Times New Roman" w:hAnsi="Times New Roman" w:eastAsia="方正仿宋_GBK" w:cs="Times New Roman"/>
          <w:color w:val="auto"/>
          <w:sz w:val="32"/>
          <w:szCs w:val="32"/>
        </w:rPr>
        <w:t>经三级医院或当地最高级别医院皮肤科医师确诊，传统治疗无效、有禁忌或不耐受的中重度特应性皮炎患者。</w:t>
      </w:r>
    </w:p>
    <w:p w14:paraId="4067B56E">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五十九</w:t>
      </w:r>
      <w:r>
        <w:rPr>
          <w:rFonts w:hint="default" w:ascii="仿宋" w:hAnsi="仿宋" w:eastAsia="仿宋" w:cs="仿宋"/>
          <w:b/>
          <w:bCs/>
          <w:color w:val="auto"/>
          <w:sz w:val="32"/>
          <w:szCs w:val="32"/>
          <w:lang w:val="en-US" w:eastAsia="zh-CN"/>
        </w:rPr>
        <w:t xml:space="preserve">、系统性红斑狼疮 </w:t>
      </w:r>
    </w:p>
    <w:p w14:paraId="0055725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出现颧部红斑、盘状红斑、光敏感等临床表现，经</w:t>
      </w:r>
      <w:r>
        <w:rPr>
          <w:rFonts w:hint="eastAsia" w:ascii="Times New Roman" w:hAnsi="Times New Roman" w:eastAsia="方正仿宋_GBK" w:cs="Times New Roman"/>
          <w:color w:val="auto"/>
          <w:sz w:val="32"/>
          <w:szCs w:val="32"/>
        </w:rPr>
        <w:t>三</w:t>
      </w:r>
      <w:r>
        <w:rPr>
          <w:rFonts w:hint="default" w:ascii="Times New Roman" w:hAnsi="Times New Roman" w:eastAsia="方正仿宋_GBK" w:cs="Times New Roman"/>
          <w:color w:val="auto"/>
          <w:sz w:val="32"/>
          <w:szCs w:val="32"/>
        </w:rPr>
        <w:t>级及以上医院确诊，并符合下列条件之一：</w:t>
      </w:r>
    </w:p>
    <w:p w14:paraId="1DF3D04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出现口腔溃疡、关节炎、浆膜炎等症状；</w:t>
      </w:r>
    </w:p>
    <w:p w14:paraId="0BE94C2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出现精神系统或神经系统症状；</w:t>
      </w:r>
    </w:p>
    <w:p w14:paraId="52FB764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血液学异常（溶贫，血三系减少）；</w:t>
      </w:r>
    </w:p>
    <w:p w14:paraId="309D41C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免疫学异常（抗ds-DNA抗体阳性，或抗Sm抗体阳性，或狼疮抗凝物、抗心磷脂抗体阳性，</w:t>
      </w:r>
      <w:r>
        <w:rPr>
          <w:rFonts w:hint="eastAsia" w:ascii="Times New Roman" w:hAnsi="Times New Roman" w:eastAsia="方正仿宋_GBK" w:cs="Times New Roman"/>
          <w:color w:val="auto"/>
          <w:sz w:val="32"/>
          <w:szCs w:val="32"/>
        </w:rPr>
        <w:t>或</w:t>
      </w:r>
      <w:r>
        <w:rPr>
          <w:rFonts w:hint="default" w:ascii="Times New Roman" w:hAnsi="Times New Roman" w:eastAsia="方正仿宋_GBK" w:cs="Times New Roman"/>
          <w:color w:val="auto"/>
          <w:sz w:val="32"/>
          <w:szCs w:val="32"/>
        </w:rPr>
        <w:t>抗β</w:t>
      </w:r>
      <w:r>
        <w:rPr>
          <w:rFonts w:ascii="Times New Roman" w:hAnsi="Times New Roman" w:eastAsia="仿宋_GB2312"/>
          <w:color w:val="auto"/>
          <w:sz w:val="32"/>
          <w:szCs w:val="32"/>
          <w:vertAlign w:val="subscript"/>
        </w:rPr>
        <w:t>2</w:t>
      </w:r>
      <w:r>
        <w:rPr>
          <w:rFonts w:hint="eastAsia"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rPr>
        <w:t>GP1阳性）；</w:t>
      </w:r>
    </w:p>
    <w:p w14:paraId="3BC8834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狼疮肾炎</w:t>
      </w:r>
      <w:r>
        <w:rPr>
          <w:rFonts w:hint="eastAsia" w:ascii="Times New Roman" w:hAnsi="Times New Roman" w:eastAsia="方正仿宋_GBK" w:cs="Times New Roman"/>
          <w:color w:val="auto"/>
          <w:sz w:val="32"/>
          <w:szCs w:val="32"/>
        </w:rPr>
        <w:t>；</w:t>
      </w:r>
    </w:p>
    <w:p w14:paraId="23FDA651">
      <w:pPr>
        <w:keepNext w:val="0"/>
        <w:keepLines w:val="0"/>
        <w:pageBreakBefore w:val="0"/>
        <w:kinsoku/>
        <w:wordWrap/>
        <w:overflowPunct/>
        <w:topLinePunct w:val="0"/>
        <w:autoSpaceDE/>
        <w:autoSpaceDN/>
        <w:bidi w:val="0"/>
        <w:adjustRightInd/>
        <w:spacing w:line="54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6</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抗核抗体阳性</w:t>
      </w:r>
      <w:r>
        <w:rPr>
          <w:rFonts w:hint="eastAsia" w:ascii="Times New Roman" w:hAnsi="Times New Roman" w:eastAsia="方正仿宋_GBK" w:cs="Times New Roman"/>
          <w:color w:val="auto"/>
          <w:sz w:val="32"/>
          <w:szCs w:val="32"/>
        </w:rPr>
        <w:t>。</w:t>
      </w:r>
    </w:p>
    <w:p w14:paraId="3018DB39">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六十</w:t>
      </w:r>
      <w:r>
        <w:rPr>
          <w:rFonts w:hint="default" w:ascii="仿宋" w:hAnsi="仿宋" w:eastAsia="仿宋" w:cs="仿宋"/>
          <w:b/>
          <w:bCs/>
          <w:color w:val="auto"/>
          <w:sz w:val="32"/>
          <w:szCs w:val="32"/>
          <w:lang w:val="en-US" w:eastAsia="zh-CN"/>
        </w:rPr>
        <w:t xml:space="preserve">、先天性免疫蛋白缺乏症 </w:t>
      </w:r>
    </w:p>
    <w:p w14:paraId="7E9A9141">
      <w:pPr>
        <w:ind w:firstLine="640" w:firstLineChars="200"/>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经三级医疗机构确诊为先天性免疫蛋白缺乏症，需要替代疗法补充抗体免疫蛋白的患者。</w:t>
      </w:r>
    </w:p>
    <w:p w14:paraId="44701E59">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六十一</w:t>
      </w:r>
      <w:r>
        <w:rPr>
          <w:rFonts w:hint="default" w:ascii="仿宋" w:hAnsi="仿宋" w:eastAsia="仿宋" w:cs="仿宋"/>
          <w:b/>
          <w:bCs/>
          <w:color w:val="auto"/>
          <w:sz w:val="32"/>
          <w:szCs w:val="32"/>
          <w:lang w:val="en-US" w:eastAsia="zh-CN"/>
        </w:rPr>
        <w:t xml:space="preserve">、生长激素缺乏症 </w:t>
      </w:r>
    </w:p>
    <w:p w14:paraId="31DFA25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仿宋" w:hAnsi="仿宋" w:eastAsia="仿宋" w:cs="仿宋"/>
          <w:b w:val="0"/>
          <w:bCs w:val="0"/>
          <w:color w:val="auto"/>
          <w:sz w:val="32"/>
          <w:szCs w:val="32"/>
          <w:lang w:val="en-US" w:eastAsia="zh-CN"/>
        </w:rPr>
      </w:pPr>
      <w:r>
        <w:rPr>
          <w:rFonts w:hint="default" w:ascii="Times New Roman" w:hAnsi="Times New Roman" w:eastAsia="方正仿宋_GBK" w:cs="Times New Roman"/>
          <w:color w:val="auto"/>
          <w:sz w:val="32"/>
          <w:szCs w:val="32"/>
        </w:rPr>
        <w:t>经三级医院或当地最高级别医院确诊，年龄</w:t>
      </w:r>
      <w:r>
        <w:rPr>
          <w:rFonts w:hint="eastAsia"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rPr>
        <w:t>18周岁</w:t>
      </w:r>
      <w:r>
        <w:rPr>
          <w:rFonts w:hint="default" w:ascii="Times New Roman" w:hAnsi="Times New Roman" w:eastAsia="方正仿宋_GBK" w:cs="Times New Roman"/>
          <w:color w:val="auto"/>
          <w:sz w:val="32"/>
          <w:szCs w:val="32"/>
          <w:lang w:eastAsia="zh-CN"/>
        </w:rPr>
        <w:t>且骨骺未愈合</w:t>
      </w:r>
      <w:r>
        <w:rPr>
          <w:rFonts w:hint="default" w:ascii="Times New Roman" w:hAnsi="Times New Roman" w:eastAsia="方正仿宋_GBK" w:cs="Times New Roman"/>
          <w:color w:val="auto"/>
          <w:sz w:val="32"/>
          <w:szCs w:val="32"/>
        </w:rPr>
        <w:t>，需长期生长激素治疗的</w:t>
      </w:r>
      <w:r>
        <w:rPr>
          <w:rFonts w:hint="eastAsia" w:ascii="Times New Roman" w:hAnsi="Times New Roman" w:eastAsia="方正仿宋_GBK" w:cs="Times New Roman"/>
          <w:color w:val="auto"/>
          <w:sz w:val="32"/>
          <w:szCs w:val="32"/>
          <w:lang w:eastAsia="zh-CN"/>
        </w:rPr>
        <w:t>（完全缺乏或部分缺乏）</w:t>
      </w:r>
      <w:r>
        <w:rPr>
          <w:rFonts w:hint="default" w:ascii="Times New Roman" w:hAnsi="Times New Roman" w:eastAsia="方正仿宋_GBK" w:cs="Times New Roman"/>
          <w:color w:val="auto"/>
          <w:sz w:val="32"/>
          <w:szCs w:val="32"/>
        </w:rPr>
        <w:t>；有相应的检查确诊报告。</w:t>
      </w:r>
    </w:p>
    <w:p w14:paraId="00140DED">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六十二</w:t>
      </w:r>
      <w:r>
        <w:rPr>
          <w:rFonts w:hint="default" w:ascii="仿宋" w:hAnsi="仿宋" w:eastAsia="仿宋" w:cs="仿宋"/>
          <w:b/>
          <w:bCs/>
          <w:color w:val="auto"/>
          <w:sz w:val="32"/>
          <w:szCs w:val="32"/>
          <w:lang w:val="en-US" w:eastAsia="zh-CN"/>
        </w:rPr>
        <w:t xml:space="preserve">、普拉德-威利综合征 </w:t>
      </w:r>
    </w:p>
    <w:p w14:paraId="09D905C3">
      <w:pPr>
        <w:pStyle w:val="2"/>
        <w:numPr>
          <w:ilvl w:val="1"/>
          <w:numId w:val="0"/>
        </w:numPr>
        <w:ind w:firstLine="640" w:firstLineChars="200"/>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有明确的病史，伴有严重肥胖、性发育不良、智力轻度低下或特殊面容等典型临床表现；需提供分子遗传学确诊报告。</w:t>
      </w:r>
    </w:p>
    <w:p w14:paraId="1B20031D">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六十三</w:t>
      </w:r>
      <w:r>
        <w:rPr>
          <w:rFonts w:hint="default" w:ascii="仿宋" w:hAnsi="仿宋" w:eastAsia="仿宋" w:cs="仿宋"/>
          <w:b/>
          <w:bCs/>
          <w:color w:val="auto"/>
          <w:sz w:val="32"/>
          <w:szCs w:val="32"/>
          <w:lang w:val="en-US" w:eastAsia="zh-CN"/>
        </w:rPr>
        <w:t xml:space="preserve">、尼曼匹克病 </w:t>
      </w:r>
    </w:p>
    <w:p w14:paraId="14250B81">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经三级医院或当地最高级别医院住院或门诊确诊，提供分子遗传学确诊报告或符合下列 5项中 3项的。 </w:t>
      </w:r>
    </w:p>
    <w:p w14:paraId="7B5610BC">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1．肝脾肿大； </w:t>
      </w:r>
    </w:p>
    <w:p w14:paraId="31C972BD">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2．有或无神经系统损害或眼底樱桃红斑； </w:t>
      </w:r>
    </w:p>
    <w:p w14:paraId="41E7DB37">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3．外周血淋巴细胞浆和单核细胞浆有空泡； </w:t>
      </w:r>
    </w:p>
    <w:p w14:paraId="1F07F5B5">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4．骨髓可找到泡沫细胞； </w:t>
      </w:r>
    </w:p>
    <w:p w14:paraId="17EC2AF5">
      <w:pPr>
        <w:ind w:firstLine="640" w:firstLineChars="200"/>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5．X线肺部呈粟粒样或网状浸润。</w:t>
      </w:r>
    </w:p>
    <w:p w14:paraId="382945A5">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六十四</w:t>
      </w:r>
      <w:r>
        <w:rPr>
          <w:rFonts w:hint="default" w:ascii="仿宋" w:hAnsi="仿宋" w:eastAsia="仿宋" w:cs="仿宋"/>
          <w:b/>
          <w:bCs/>
          <w:color w:val="auto"/>
          <w:sz w:val="32"/>
          <w:szCs w:val="32"/>
          <w:lang w:val="en-US" w:eastAsia="zh-CN"/>
        </w:rPr>
        <w:t xml:space="preserve">、器官移植术后 </w:t>
      </w:r>
    </w:p>
    <w:p w14:paraId="5BE326A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既往有严重脏器疾病史，经医院住院手术移植异体器官（组织），移植后需长期服用抗排异药物治疗的。根据移植器官（组织）不同，分为肾移植术后、肝移植抗术后、造血干细胞移植抗术后等（其他）器官移植术后的抗排异治疗。需提供移植手术出院记录和移植手术记录单。</w:t>
      </w:r>
    </w:p>
    <w:p w14:paraId="0AC88D23">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六十五</w:t>
      </w:r>
      <w:r>
        <w:rPr>
          <w:rFonts w:hint="default" w:ascii="仿宋" w:hAnsi="仿宋" w:eastAsia="仿宋" w:cs="仿宋"/>
          <w:b/>
          <w:bCs/>
          <w:color w:val="auto"/>
          <w:sz w:val="32"/>
          <w:szCs w:val="32"/>
          <w:lang w:val="en-US" w:eastAsia="zh-CN"/>
        </w:rPr>
        <w:t xml:space="preserve">、血友病 </w:t>
      </w:r>
    </w:p>
    <w:p w14:paraId="7C479A25">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1．经三级医院或当地最高级别医院血液科专科医师确诊，需要在门诊接受凝血因子输入等相应治疗的。 </w:t>
      </w:r>
    </w:p>
    <w:p w14:paraId="2B70A1A6">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 xml:space="preserve">2．需提供三级医院凝血因子活性检测报告。 </w:t>
      </w:r>
    </w:p>
    <w:p w14:paraId="478BB806">
      <w:pPr>
        <w:ind w:firstLine="640" w:firstLineChars="200"/>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凝血因子活性＜1%为重型血友病。</w:t>
      </w:r>
    </w:p>
    <w:p w14:paraId="62386960">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六十六</w:t>
      </w:r>
      <w:r>
        <w:rPr>
          <w:rFonts w:hint="default" w:ascii="仿宋" w:hAnsi="仿宋" w:eastAsia="仿宋" w:cs="仿宋"/>
          <w:b/>
          <w:bCs/>
          <w:color w:val="auto"/>
          <w:sz w:val="32"/>
          <w:szCs w:val="32"/>
          <w:lang w:val="en-US" w:eastAsia="zh-CN"/>
        </w:rPr>
        <w:t xml:space="preserve">、特发性血小板减少性紫癜 </w:t>
      </w:r>
    </w:p>
    <w:p w14:paraId="3F657D6E">
      <w:pPr>
        <w:pStyle w:val="2"/>
        <w:numPr>
          <w:ilvl w:val="1"/>
          <w:numId w:val="0"/>
        </w:numPr>
        <w:ind w:firstLine="640" w:firstLineChars="200"/>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经二级及以上医院住院确诊，排除继发性血小板减少症，血小板检查减少或骨髓象检查异常。</w:t>
      </w:r>
    </w:p>
    <w:p w14:paraId="216942AD">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六十七</w:t>
      </w:r>
      <w:r>
        <w:rPr>
          <w:rFonts w:hint="default" w:ascii="仿宋" w:hAnsi="仿宋" w:eastAsia="仿宋" w:cs="仿宋"/>
          <w:b/>
          <w:bCs/>
          <w:color w:val="auto"/>
          <w:sz w:val="32"/>
          <w:szCs w:val="32"/>
          <w:lang w:val="en-US" w:eastAsia="zh-CN"/>
        </w:rPr>
        <w:t xml:space="preserve">、再生障碍性贫血 </w:t>
      </w:r>
    </w:p>
    <w:p w14:paraId="57497393">
      <w:pPr>
        <w:ind w:firstLine="640" w:firstLineChars="200"/>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经三级医院或当地最高级别医院诊断为慢性再生障碍性贫血或重型再生障碍性贫血（病情稳定期）。</w:t>
      </w:r>
    </w:p>
    <w:p w14:paraId="12A266A5">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default" w:ascii="仿宋" w:hAnsi="仿宋" w:eastAsia="仿宋" w:cs="仿宋"/>
          <w:b/>
          <w:bCs/>
          <w:color w:val="auto"/>
          <w:sz w:val="32"/>
          <w:szCs w:val="32"/>
          <w:lang w:val="en-US" w:eastAsia="zh-CN"/>
        </w:rPr>
        <w:t>六十</w:t>
      </w:r>
      <w:r>
        <w:rPr>
          <w:rFonts w:hint="eastAsia" w:ascii="仿宋" w:hAnsi="仿宋" w:eastAsia="仿宋" w:cs="仿宋"/>
          <w:b/>
          <w:bCs/>
          <w:color w:val="auto"/>
          <w:sz w:val="32"/>
          <w:szCs w:val="32"/>
          <w:lang w:val="en-US" w:eastAsia="zh-CN"/>
        </w:rPr>
        <w:t>八</w:t>
      </w:r>
      <w:r>
        <w:rPr>
          <w:rFonts w:hint="default" w:ascii="仿宋" w:hAnsi="仿宋" w:eastAsia="仿宋" w:cs="仿宋"/>
          <w:b/>
          <w:bCs/>
          <w:color w:val="auto"/>
          <w:sz w:val="32"/>
          <w:szCs w:val="32"/>
          <w:lang w:val="en-US" w:eastAsia="zh-CN"/>
        </w:rPr>
        <w:t xml:space="preserve">、骨髓增生异常综合征 </w:t>
      </w:r>
    </w:p>
    <w:p w14:paraId="5B03AB7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出现血液病临床症状，经三级医院或当地最高级别医院确诊为骨髓增生异常综合征，并符合下列条件之一的：</w:t>
      </w:r>
    </w:p>
    <w:p w14:paraId="1D70083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血象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全血细胞减少，或任1.2系细胞减少表现；</w:t>
      </w:r>
    </w:p>
    <w:p w14:paraId="09A0D9C2">
      <w:pPr>
        <w:pStyle w:val="2"/>
        <w:numPr>
          <w:ilvl w:val="1"/>
          <w:numId w:val="0"/>
        </w:numPr>
        <w:ind w:firstLine="640" w:firstLineChars="200"/>
        <w:rPr>
          <w:rFonts w:hint="default" w:ascii="仿宋" w:hAnsi="仿宋" w:eastAsia="仿宋" w:cs="仿宋"/>
          <w:b w:val="0"/>
          <w:bCs w:val="0"/>
          <w:color w:val="auto"/>
          <w:sz w:val="32"/>
          <w:szCs w:val="32"/>
          <w:lang w:val="en-US" w:eastAsia="zh-CN"/>
        </w:rPr>
      </w:pPr>
      <w:r>
        <w:rPr>
          <w:rFonts w:hint="default"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骨髓象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有三系、两系或任一系血细胞的病态造血。</w:t>
      </w:r>
    </w:p>
    <w:p w14:paraId="3D466602">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default" w:ascii="仿宋" w:hAnsi="仿宋" w:eastAsia="仿宋" w:cs="仿宋"/>
          <w:b/>
          <w:bCs/>
          <w:color w:val="auto"/>
          <w:sz w:val="32"/>
          <w:szCs w:val="32"/>
          <w:lang w:val="en-US" w:eastAsia="zh-CN"/>
        </w:rPr>
        <w:t>六十</w:t>
      </w:r>
      <w:r>
        <w:rPr>
          <w:rFonts w:hint="eastAsia" w:ascii="仿宋" w:hAnsi="仿宋" w:eastAsia="仿宋" w:cs="仿宋"/>
          <w:b/>
          <w:bCs/>
          <w:color w:val="auto"/>
          <w:sz w:val="32"/>
          <w:szCs w:val="32"/>
          <w:lang w:val="en-US" w:eastAsia="zh-CN"/>
        </w:rPr>
        <w:t>九</w:t>
      </w:r>
      <w:r>
        <w:rPr>
          <w:rFonts w:hint="default" w:ascii="仿宋" w:hAnsi="仿宋" w:eastAsia="仿宋" w:cs="仿宋"/>
          <w:b/>
          <w:bCs/>
          <w:color w:val="auto"/>
          <w:sz w:val="32"/>
          <w:szCs w:val="32"/>
          <w:lang w:val="en-US" w:eastAsia="zh-CN"/>
        </w:rPr>
        <w:t xml:space="preserve">、骨髓增生性疾病 </w:t>
      </w:r>
    </w:p>
    <w:p w14:paraId="189470CB">
      <w:pPr>
        <w:ind w:firstLine="640" w:firstLineChars="200"/>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经三级医院或当地最高级别医院确诊为真性红细胞增多症、原发性血小板增多症或原发性骨髓纤维化，并有血象和骨髓象的检查结果，需在门诊长期用药治疗的。</w:t>
      </w:r>
    </w:p>
    <w:p w14:paraId="0D75B756">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七十</w:t>
      </w:r>
      <w:r>
        <w:rPr>
          <w:rFonts w:hint="default" w:ascii="仿宋" w:hAnsi="仿宋" w:eastAsia="仿宋" w:cs="仿宋"/>
          <w:b/>
          <w:bCs/>
          <w:color w:val="auto"/>
          <w:sz w:val="32"/>
          <w:szCs w:val="32"/>
          <w:lang w:val="en-US" w:eastAsia="zh-CN"/>
        </w:rPr>
        <w:t xml:space="preserve">、白血病 </w:t>
      </w:r>
    </w:p>
    <w:p w14:paraId="731EC96C">
      <w:pPr>
        <w:keepNext w:val="0"/>
        <w:keepLines w:val="0"/>
        <w:pageBreakBefore w:val="0"/>
        <w:kinsoku/>
        <w:wordWrap/>
        <w:overflowPunct/>
        <w:topLinePunct w:val="0"/>
        <w:autoSpaceDE/>
        <w:autoSpaceDN/>
        <w:bidi w:val="0"/>
        <w:adjustRightInd/>
        <w:spacing w:line="54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典型的临床表现，经三级医院或当地最高级别医院诊断为白血病，并经专科医师审核，确需门诊治疗的。需提供血液系统检查报告和上述医疗机构出具的诊疗方案。</w:t>
      </w:r>
    </w:p>
    <w:p w14:paraId="4706E55B">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七十一、</w:t>
      </w:r>
      <w:r>
        <w:rPr>
          <w:rFonts w:hint="default" w:ascii="仿宋" w:hAnsi="仿宋" w:eastAsia="仿宋" w:cs="仿宋"/>
          <w:b/>
          <w:bCs/>
          <w:color w:val="auto"/>
          <w:sz w:val="32"/>
          <w:szCs w:val="32"/>
          <w:lang w:val="en-US" w:eastAsia="zh-CN"/>
        </w:rPr>
        <w:t xml:space="preserve">恶性肿瘤 </w:t>
      </w:r>
    </w:p>
    <w:p w14:paraId="4DA3DBA5">
      <w:pPr>
        <w:ind w:firstLine="640" w:firstLineChars="200"/>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1.经三级医院或当地最高级别医院住院或门诊确诊为恶性肿瘤(含淋巴瘤、骨髓瘤)，且肿瘤未愈、转移、复发或新发，有相应的病理检查或免疫组化检查报告，需继续门诊治疗的。</w:t>
      </w:r>
    </w:p>
    <w:p w14:paraId="6BAAEA93">
      <w:pPr>
        <w:ind w:firstLine="640" w:firstLineChars="200"/>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2.特殊情况无法取得病理确诊，根据临床症状、影像学检查、肿瘤标志物及多学科会诊后，经三级医院或当地最高级别医院住院诊断为恶性肿瘤，需要门诊治疗的。</w:t>
      </w:r>
    </w:p>
    <w:p w14:paraId="4F0C74F8">
      <w:pPr>
        <w:ind w:firstLine="640" w:firstLineChars="200"/>
        <w:rPr>
          <w:rFonts w:hint="default"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3.恶性肿瘤根治术后，需临床严密随访的患者，需同时提供相应的手术治疗记录单和病理报告。</w:t>
      </w:r>
    </w:p>
    <w:p w14:paraId="72A99C05">
      <w:pPr>
        <w:ind w:firstLine="640" w:firstLineChars="200"/>
        <w:rPr>
          <w:rFonts w:hint="default"/>
          <w:lang w:val="en-US" w:eastAsia="zh-CN"/>
        </w:rPr>
      </w:pPr>
      <w:r>
        <w:rPr>
          <w:rFonts w:hint="default" w:ascii="仿宋" w:hAnsi="仿宋" w:eastAsia="仿宋" w:cs="仿宋"/>
          <w:b w:val="0"/>
          <w:bCs w:val="0"/>
          <w:color w:val="auto"/>
          <w:sz w:val="32"/>
          <w:szCs w:val="32"/>
          <w:lang w:val="en-US" w:eastAsia="zh-CN"/>
        </w:rPr>
        <w:t>4.参保18周岁以下儿童患有国家卫生健康委员会办公厅、民政部办公厅、国家医保局办公室、国家中医药局办公室、国家药监局综合司《关于进一步扩大儿童血液病恶性肿瘤救治管理病种范围的通知》(国卫办医函</w:t>
      </w:r>
      <w:r>
        <w:rPr>
          <w:rFonts w:hint="eastAsia" w:ascii="方正隶书_GBK" w:hAnsi="方正隶书_GBK" w:eastAsia="方正隶书_GBK" w:cs="方正隶书_GBK"/>
          <w:b w:val="0"/>
          <w:bCs w:val="0"/>
          <w:color w:val="auto"/>
          <w:sz w:val="32"/>
          <w:szCs w:val="32"/>
          <w:highlight w:val="none"/>
          <w:lang w:val="en-US" w:eastAsia="zh-CN"/>
        </w:rPr>
        <w:t>〔</w:t>
      </w:r>
      <w:r>
        <w:rPr>
          <w:rFonts w:hint="default" w:ascii="仿宋" w:hAnsi="仿宋" w:eastAsia="仿宋" w:cs="仿宋"/>
          <w:b w:val="0"/>
          <w:bCs w:val="0"/>
          <w:color w:val="auto"/>
          <w:sz w:val="32"/>
          <w:szCs w:val="32"/>
          <w:lang w:val="en-US" w:eastAsia="zh-CN"/>
        </w:rPr>
        <w:t>2021</w:t>
      </w:r>
      <w:r>
        <w:rPr>
          <w:rFonts w:hint="eastAsia" w:ascii="方正隶书_GBK" w:hAnsi="方正隶书_GBK" w:eastAsia="方正隶书_GBK" w:cs="方正隶书_GBK"/>
          <w:b w:val="0"/>
          <w:bCs w:val="0"/>
          <w:color w:val="auto"/>
          <w:sz w:val="32"/>
          <w:szCs w:val="32"/>
          <w:highlight w:val="none"/>
          <w:lang w:val="en-US" w:eastAsia="zh-CN"/>
        </w:rPr>
        <w:t>〕</w:t>
      </w:r>
      <w:r>
        <w:rPr>
          <w:rFonts w:hint="default" w:ascii="仿宋" w:hAnsi="仿宋" w:eastAsia="仿宋" w:cs="仿宋"/>
          <w:b w:val="0"/>
          <w:bCs w:val="0"/>
          <w:color w:val="auto"/>
          <w:sz w:val="32"/>
          <w:szCs w:val="32"/>
          <w:lang w:val="en-US" w:eastAsia="zh-CN"/>
        </w:rPr>
        <w:t>107号)规定的中枢神经系统肿瘤(脑胶质瘤、髓母细胞瘤、颅咽管瘤、室管膜肿瘤)、恶性生殖细胞瘤、头颈胸部肿瘤(鼻咽癌、甲状腺癌、胸膜肺母细胞瘤)、神经纤维瘤病、朗格罕细胞组织细胞增生症、慢性活动性EB病毒感染、免疫性溶血性贫血等12种疾病，可按规定申请享受恶性肿瘤门诊慢特病待遇。</w:t>
      </w:r>
    </w:p>
    <w:p w14:paraId="5EF32E07">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七十二、法布雷病</w:t>
      </w:r>
    </w:p>
    <w:p w14:paraId="66786C53">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1.有蛋白尿、进行性肾衰竭等肾脏表现或左室肥厚、心衰、少汗、疼痛、血管角质瘤、卒中等多脏器受累症状;</w:t>
      </w:r>
    </w:p>
    <w:p w14:paraId="5E573250">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 α-GalA酶显著降低(≤10%)或GLA基因致病性突变;</w:t>
      </w:r>
    </w:p>
    <w:p w14:paraId="28EF6D16">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3.针对基因报告VUS分型的患者，可结合生物标记物(Lyso-GL-3水平)或病理报告。</w:t>
      </w:r>
    </w:p>
    <w:p w14:paraId="7AB1F0DC">
      <w:pPr>
        <w:keepNext w:val="0"/>
        <w:keepLines w:val="0"/>
        <w:pageBreakBefore w:val="0"/>
        <w:kinsoku/>
        <w:wordWrap/>
        <w:overflowPunct/>
        <w:topLinePunct w:val="0"/>
        <w:autoSpaceDE/>
        <w:autoSpaceDN/>
        <w:bidi w:val="0"/>
        <w:adjustRightInd/>
        <w:spacing w:line="54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七十三、甲状腺素蛋白淀粉样变性心肌病</w:t>
      </w:r>
    </w:p>
    <w:p w14:paraId="7133EF12">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1.心脏彩超或心脏核磁共振提示心肌淀粉样变可能;</w:t>
      </w:r>
    </w:p>
    <w:p w14:paraId="4790EA8F">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2.在通过抽血查血清游离轻链，排除轻链的可能后，核医学 pyp核素显像视觉评分大于等于2分，H/CL比值大于1.5;</w:t>
      </w:r>
    </w:p>
    <w:p w14:paraId="3D7EE461">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3.心肌淀粉样变遗传型需要明确的基因检测报告。基因检测显示非遗传型即确诊野生型;</w:t>
      </w:r>
    </w:p>
    <w:p w14:paraId="61032351">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4.如果不具备条件2、3，可进行侵入性心内膜心肌活检，经激光显微切割和/或质谱技术对淀粉样变进行诊断和分型。即使在条件2视觉评分低于2的情况下，仍可确诊。</w:t>
      </w:r>
    </w:p>
    <w:p w14:paraId="16EBDDD1">
      <w:pPr>
        <w:keepNext w:val="0"/>
        <w:keepLines w:val="0"/>
        <w:pageBreakBefore w:val="0"/>
        <w:kinsoku/>
        <w:wordWrap/>
        <w:overflowPunct/>
        <w:topLinePunct w:val="0"/>
        <w:autoSpaceDE/>
        <w:autoSpaceDN/>
        <w:bidi w:val="0"/>
        <w:adjustRightInd/>
        <w:spacing w:line="540" w:lineRule="exac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满足条件1、2、3，或条件1、4可予以鉴定。</w:t>
      </w:r>
    </w:p>
    <w:p w14:paraId="32EA4B2A">
      <w:pPr>
        <w:pStyle w:val="2"/>
        <w:numPr>
          <w:ilvl w:val="1"/>
          <w:numId w:val="0"/>
        </w:numP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七十四、亨廷顿舞蹈症</w:t>
      </w:r>
    </w:p>
    <w:p w14:paraId="6B01699E">
      <w:pPr>
        <w:pStyle w:val="2"/>
        <w:numPr>
          <w:ilvl w:val="1"/>
          <w:numId w:val="0"/>
        </w:num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1.有明确家族史，多于30-50岁起病，慢性进行性舞蹈样动作、精神症状和痴呆;</w:t>
      </w:r>
    </w:p>
    <w:p w14:paraId="1B51B270">
      <w:pPr>
        <w:pStyle w:val="2"/>
        <w:numPr>
          <w:ilvl w:val="1"/>
          <w:numId w:val="0"/>
        </w:num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2.分子遗传学确诊报告。</w:t>
      </w:r>
    </w:p>
    <w:p w14:paraId="7CFF95C1">
      <w:pP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七十五、视神经脊髓炎</w:t>
      </w:r>
    </w:p>
    <w:p w14:paraId="4A8F780F">
      <w:p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1.必要条件:①视神经炎;②急性脊髓炎;支持条件:①脊髓MRI异常病灶≥3个脊髓节段;②头颅MRI不符合MS诊断标准;③血清NMO-IGG阳性;</w:t>
      </w:r>
    </w:p>
    <w:p w14:paraId="3F64F896">
      <w:p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2.具备全部必要条件和支持条件中的2条，即可诊断。</w:t>
      </w:r>
    </w:p>
    <w:p w14:paraId="7E3AC63D">
      <w:pPr>
        <w:pStyle w:val="2"/>
        <w:numPr>
          <w:ilvl w:val="1"/>
          <w:numId w:val="0"/>
        </w:numPr>
        <w:rPr>
          <w:rFonts w:hint="default"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七十六、</w:t>
      </w:r>
      <w:r>
        <w:rPr>
          <w:rFonts w:hint="default" w:ascii="仿宋" w:hAnsi="仿宋" w:eastAsia="仿宋" w:cs="仿宋"/>
          <w:b/>
          <w:bCs/>
          <w:color w:val="auto"/>
          <w:kern w:val="2"/>
          <w:sz w:val="32"/>
          <w:szCs w:val="32"/>
          <w:lang w:val="en-US" w:eastAsia="zh-CN" w:bidi="ar-SA"/>
        </w:rPr>
        <w:t>脊髓延髓肌萎缩症(肯尼迪病)</w:t>
      </w:r>
    </w:p>
    <w:p w14:paraId="37F2A854">
      <w:pPr>
        <w:pStyle w:val="2"/>
        <w:numPr>
          <w:ilvl w:val="1"/>
          <w:numId w:val="0"/>
        </w:numPr>
        <w:ind w:firstLine="640" w:firstLineChars="200"/>
        <w:rPr>
          <w:rFonts w:hint="default" w:ascii="仿宋" w:hAnsi="仿宋" w:eastAsia="仿宋" w:cs="仿宋"/>
          <w:b w:val="0"/>
          <w:bCs w:val="0"/>
          <w:color w:val="auto"/>
          <w:kern w:val="2"/>
          <w:sz w:val="32"/>
          <w:szCs w:val="32"/>
          <w:lang w:val="en-US" w:eastAsia="zh-CN" w:bidi="ar-SA"/>
        </w:rPr>
      </w:pPr>
      <w:r>
        <w:rPr>
          <w:rFonts w:hint="default" w:ascii="仿宋" w:hAnsi="仿宋" w:eastAsia="仿宋" w:cs="仿宋"/>
          <w:b w:val="0"/>
          <w:bCs w:val="0"/>
          <w:color w:val="auto"/>
          <w:kern w:val="2"/>
          <w:sz w:val="32"/>
          <w:szCs w:val="32"/>
          <w:lang w:val="en-US" w:eastAsia="zh-CN" w:bidi="ar-SA"/>
        </w:rPr>
        <w:t>1.临床表现以缓慢进展的肌无力、痛性痉挛、震颤及肢体、延髓部及面部肌肉萎缩,可伴有男性乳房发育和生殖功能降低等;</w:t>
      </w:r>
    </w:p>
    <w:p w14:paraId="1F659A9F">
      <w:pPr>
        <w:pStyle w:val="2"/>
        <w:numPr>
          <w:ilvl w:val="1"/>
          <w:numId w:val="0"/>
        </w:numPr>
        <w:ind w:firstLine="640" w:firstLineChars="200"/>
        <w:rPr>
          <w:rFonts w:hint="default" w:ascii="仿宋" w:hAnsi="仿宋" w:eastAsia="仿宋" w:cs="仿宋"/>
          <w:b w:val="0"/>
          <w:bCs w:val="0"/>
          <w:color w:val="auto"/>
          <w:kern w:val="2"/>
          <w:sz w:val="32"/>
          <w:szCs w:val="32"/>
          <w:lang w:val="en-US" w:eastAsia="zh-CN" w:bidi="ar-SA"/>
        </w:rPr>
      </w:pPr>
      <w:r>
        <w:rPr>
          <w:rFonts w:hint="default" w:ascii="仿宋" w:hAnsi="仿宋" w:eastAsia="仿宋" w:cs="仿宋"/>
          <w:b w:val="0"/>
          <w:bCs w:val="0"/>
          <w:color w:val="auto"/>
          <w:kern w:val="2"/>
          <w:sz w:val="32"/>
          <w:szCs w:val="32"/>
          <w:lang w:val="en-US" w:eastAsia="zh-CN" w:bidi="ar-SA"/>
        </w:rPr>
        <w:t>2.患者的血清肌酸激酶和乳酸脱氢酶轻度升高;</w:t>
      </w:r>
    </w:p>
    <w:p w14:paraId="386739BC">
      <w:pPr>
        <w:pStyle w:val="2"/>
        <w:numPr>
          <w:ilvl w:val="1"/>
          <w:numId w:val="0"/>
        </w:numPr>
        <w:ind w:firstLine="640" w:firstLineChars="200"/>
        <w:rPr>
          <w:rFonts w:hint="default" w:ascii="仿宋" w:hAnsi="仿宋" w:eastAsia="仿宋" w:cs="仿宋"/>
          <w:b w:val="0"/>
          <w:bCs w:val="0"/>
          <w:color w:val="auto"/>
          <w:kern w:val="2"/>
          <w:sz w:val="32"/>
          <w:szCs w:val="32"/>
          <w:lang w:val="en-US" w:eastAsia="zh-CN" w:bidi="ar-SA"/>
        </w:rPr>
      </w:pPr>
      <w:r>
        <w:rPr>
          <w:rFonts w:hint="default" w:ascii="仿宋" w:hAnsi="仿宋" w:eastAsia="仿宋" w:cs="仿宋"/>
          <w:b w:val="0"/>
          <w:bCs w:val="0"/>
          <w:color w:val="auto"/>
          <w:kern w:val="2"/>
          <w:sz w:val="32"/>
          <w:szCs w:val="32"/>
          <w:lang w:val="en-US" w:eastAsia="zh-CN" w:bidi="ar-SA"/>
        </w:rPr>
        <w:t>3.电生理以广泛的慢性神经源性损害为最主要改变;</w:t>
      </w:r>
    </w:p>
    <w:p w14:paraId="59A13AB8">
      <w:pPr>
        <w:pStyle w:val="2"/>
        <w:numPr>
          <w:ilvl w:val="1"/>
          <w:numId w:val="0"/>
        </w:numPr>
        <w:ind w:firstLine="640" w:firstLineChars="200"/>
        <w:rPr>
          <w:rFonts w:hint="eastAsia" w:ascii="仿宋" w:hAnsi="仿宋" w:eastAsia="仿宋" w:cs="仿宋"/>
          <w:b w:val="0"/>
          <w:bCs w:val="0"/>
          <w:color w:val="auto"/>
          <w:kern w:val="2"/>
          <w:sz w:val="32"/>
          <w:szCs w:val="32"/>
          <w:lang w:val="en-US" w:eastAsia="zh-CN" w:bidi="ar-SA"/>
        </w:rPr>
      </w:pPr>
      <w:r>
        <w:rPr>
          <w:rFonts w:hint="default" w:ascii="仿宋" w:hAnsi="仿宋" w:eastAsia="仿宋" w:cs="仿宋"/>
          <w:b w:val="0"/>
          <w:bCs w:val="0"/>
          <w:color w:val="auto"/>
          <w:kern w:val="2"/>
          <w:sz w:val="32"/>
          <w:szCs w:val="32"/>
          <w:lang w:val="en-US" w:eastAsia="zh-CN" w:bidi="ar-SA"/>
        </w:rPr>
        <w:t>4.雄性激素受体基因1号外显子CAG序列重复突变检测</w:t>
      </w:r>
      <w:r>
        <w:rPr>
          <w:rFonts w:hint="eastAsia" w:ascii="仿宋" w:hAnsi="仿宋" w:eastAsia="仿宋" w:cs="仿宋"/>
          <w:b w:val="0"/>
          <w:bCs w:val="0"/>
          <w:color w:val="auto"/>
          <w:kern w:val="2"/>
          <w:sz w:val="32"/>
          <w:szCs w:val="32"/>
          <w:lang w:val="en-US" w:eastAsia="zh-CN" w:bidi="ar-SA"/>
        </w:rPr>
        <w:t>。</w:t>
      </w:r>
    </w:p>
    <w:p w14:paraId="72F212A2">
      <w:pPr>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七十七、遗传性血管性水肿</w:t>
      </w:r>
    </w:p>
    <w:p w14:paraId="27E0815B">
      <w:pPr>
        <w:ind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1.家族史阳性(大部分);</w:t>
      </w:r>
    </w:p>
    <w:p w14:paraId="567AF927">
      <w:pPr>
        <w:ind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2.反复发作性的皮肤和黏膜水肿，使用抗组胺药、糖皮质激素和肾上腺素无效;</w:t>
      </w:r>
    </w:p>
    <w:p w14:paraId="72DC5ABE">
      <w:pPr>
        <w:ind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3.补体C4或C1-INH浓度或功能低下;</w:t>
      </w:r>
    </w:p>
    <w:p w14:paraId="4E343132">
      <w:pPr>
        <w:ind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4.分子遗传学确诊报告。</w:t>
      </w:r>
    </w:p>
    <w:p w14:paraId="63071210">
      <w:pPr>
        <w:ind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符合3、4中的任何一条，再加上第1和第2作为诊断标准。</w:t>
      </w:r>
    </w:p>
    <w:p w14:paraId="56DE37E0">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七十八、脊髓性肌萎缩症</w:t>
      </w:r>
    </w:p>
    <w:p w14:paraId="43A300F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outlineLvl w:val="9"/>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需经三级医院或当地最高级别医院确诊，并至少符合3、4两项之一。</w:t>
      </w:r>
    </w:p>
    <w:p w14:paraId="5E96DC8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outlineLvl w:val="9"/>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1</w:t>
      </w:r>
      <w:r>
        <w:rPr>
          <w:rFonts w:hint="eastAsia" w:eastAsia="方正仿宋_GBK" w:cs="方正仿宋_GBK"/>
          <w:color w:val="auto"/>
          <w:kern w:val="2"/>
          <w:sz w:val="32"/>
          <w:szCs w:val="32"/>
          <w:lang w:val="en-US" w:eastAsia="zh-CN" w:bidi="ar-SA"/>
        </w:rPr>
        <w:t>．</w:t>
      </w:r>
      <w:r>
        <w:rPr>
          <w:rFonts w:hint="eastAsia" w:ascii="Times New Roman" w:hAnsi="Times New Roman" w:eastAsia="方正仿宋_GBK" w:cs="方正仿宋_GBK"/>
          <w:color w:val="auto"/>
          <w:kern w:val="2"/>
          <w:sz w:val="32"/>
          <w:szCs w:val="32"/>
          <w:lang w:val="en-US" w:eastAsia="zh-CN" w:bidi="ar-SA"/>
        </w:rPr>
        <w:t>临床表现为进行性、对称性四肢和躯干的肌无力，近端重于远端，下肢重于上肢，有时可见舌肌纤颤、手震颤；</w:t>
      </w:r>
    </w:p>
    <w:p w14:paraId="5DB4BAE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outlineLvl w:val="9"/>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2</w:t>
      </w:r>
      <w:r>
        <w:rPr>
          <w:rFonts w:hint="eastAsia" w:eastAsia="方正仿宋_GBK" w:cs="方正仿宋_GBK"/>
          <w:color w:val="auto"/>
          <w:kern w:val="2"/>
          <w:sz w:val="32"/>
          <w:szCs w:val="32"/>
          <w:lang w:val="en-US" w:eastAsia="zh-CN" w:bidi="ar-SA"/>
        </w:rPr>
        <w:t>．</w:t>
      </w:r>
      <w:r>
        <w:rPr>
          <w:rFonts w:hint="eastAsia" w:ascii="Times New Roman" w:hAnsi="Times New Roman" w:eastAsia="方正仿宋_GBK" w:cs="方正仿宋_GBK"/>
          <w:color w:val="auto"/>
          <w:kern w:val="2"/>
          <w:sz w:val="32"/>
          <w:szCs w:val="32"/>
          <w:lang w:val="en-US" w:eastAsia="zh-CN" w:bidi="ar-SA"/>
        </w:rPr>
        <w:t>血肌酶谱，肌酸激酶（CK）值正常或轻度升高，绝大多数患者不超过正常值的10倍；肌电图提示神经源性损害；</w:t>
      </w:r>
    </w:p>
    <w:p w14:paraId="0FD1850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outlineLvl w:val="9"/>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3</w:t>
      </w:r>
      <w:r>
        <w:rPr>
          <w:rFonts w:hint="eastAsia" w:eastAsia="方正仿宋_GBK" w:cs="方正仿宋_GBK"/>
          <w:color w:val="auto"/>
          <w:kern w:val="2"/>
          <w:sz w:val="32"/>
          <w:szCs w:val="32"/>
          <w:lang w:val="en-US" w:eastAsia="zh-CN" w:bidi="ar-SA"/>
        </w:rPr>
        <w:t>．</w:t>
      </w:r>
      <w:r>
        <w:rPr>
          <w:rFonts w:hint="eastAsia" w:ascii="Times New Roman" w:hAnsi="Times New Roman" w:eastAsia="方正仿宋_GBK" w:cs="方正仿宋_GBK"/>
          <w:color w:val="auto"/>
          <w:kern w:val="2"/>
          <w:sz w:val="32"/>
          <w:szCs w:val="32"/>
          <w:lang w:val="en-US" w:eastAsia="zh-CN" w:bidi="ar-SA"/>
        </w:rPr>
        <w:t>基因检测显示SMN1外显子7纯合缺失或SMN1复合杂合突变；</w:t>
      </w:r>
    </w:p>
    <w:p w14:paraId="515FC458">
      <w:pPr>
        <w:pStyle w:val="2"/>
        <w:numPr>
          <w:ilvl w:val="1"/>
          <w:numId w:val="0"/>
        </w:numPr>
        <w:ind w:firstLine="640" w:firstLineChars="200"/>
        <w:rPr>
          <w:rFonts w:hint="eastAsia" w:ascii="仿宋" w:hAnsi="仿宋" w:eastAsia="仿宋" w:cs="仿宋"/>
          <w:b w:val="0"/>
          <w:bCs w:val="0"/>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4</w:t>
      </w:r>
      <w:r>
        <w:rPr>
          <w:rFonts w:hint="eastAsia" w:eastAsia="方正仿宋_GBK" w:cs="方正仿宋_GBK"/>
          <w:color w:val="auto"/>
          <w:kern w:val="2"/>
          <w:sz w:val="32"/>
          <w:szCs w:val="32"/>
          <w:lang w:val="en-US" w:eastAsia="zh-CN" w:bidi="ar-SA"/>
        </w:rPr>
        <w:t>．</w:t>
      </w:r>
      <w:r>
        <w:rPr>
          <w:rFonts w:hint="eastAsia" w:ascii="Times New Roman" w:hAnsi="Times New Roman" w:eastAsia="方正仿宋_GBK" w:cs="方正仿宋_GBK"/>
          <w:color w:val="auto"/>
          <w:kern w:val="2"/>
          <w:sz w:val="32"/>
          <w:szCs w:val="32"/>
          <w:lang w:val="en-US" w:eastAsia="zh-CN" w:bidi="ar-SA"/>
        </w:rPr>
        <w:t>基因检测阴性结果患者需行肌电图及肌肉活检，帮助诊断与鉴别诊断。</w:t>
      </w:r>
    </w:p>
    <w:p w14:paraId="16F5C2C0">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七十九、β-地中海贫血</w:t>
      </w:r>
    </w:p>
    <w:p w14:paraId="730753B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outlineLvl w:val="9"/>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需经三级医院或当地最高级别医院确诊。</w:t>
      </w:r>
    </w:p>
    <w:p w14:paraId="7E8787C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outlineLvl w:val="9"/>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1</w:t>
      </w:r>
      <w:r>
        <w:rPr>
          <w:rFonts w:hint="eastAsia" w:eastAsia="方正仿宋_GBK" w:cs="方正仿宋_GBK"/>
          <w:color w:val="auto"/>
          <w:kern w:val="2"/>
          <w:sz w:val="32"/>
          <w:szCs w:val="32"/>
          <w:lang w:val="en-US" w:eastAsia="zh-CN" w:bidi="ar-SA"/>
        </w:rPr>
        <w:t>．</w:t>
      </w:r>
      <w:r>
        <w:rPr>
          <w:rFonts w:hint="eastAsia" w:ascii="Times New Roman" w:hAnsi="Times New Roman" w:eastAsia="方正仿宋_GBK" w:cs="方正仿宋_GBK"/>
          <w:color w:val="auto"/>
          <w:kern w:val="2"/>
          <w:sz w:val="32"/>
          <w:szCs w:val="32"/>
          <w:lang w:val="en-US" w:eastAsia="zh-CN" w:bidi="ar-SA"/>
        </w:rPr>
        <w:t>根据家族史、贫血、肝脾大、黄疸等临床表现及血检可临床诊断；</w:t>
      </w:r>
    </w:p>
    <w:p w14:paraId="05120195">
      <w:pPr>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2</w:t>
      </w:r>
      <w:r>
        <w:rPr>
          <w:rFonts w:hint="eastAsia" w:eastAsia="方正仿宋_GBK" w:cs="方正仿宋_GBK"/>
          <w:color w:val="auto"/>
          <w:kern w:val="2"/>
          <w:sz w:val="32"/>
          <w:szCs w:val="32"/>
          <w:lang w:val="en-US" w:eastAsia="zh-CN" w:bidi="ar-SA"/>
        </w:rPr>
        <w:t>．</w:t>
      </w:r>
      <w:r>
        <w:rPr>
          <w:rFonts w:hint="eastAsia" w:ascii="Times New Roman" w:hAnsi="Times New Roman" w:eastAsia="方正仿宋_GBK" w:cs="方正仿宋_GBK"/>
          <w:color w:val="auto"/>
          <w:kern w:val="2"/>
          <w:sz w:val="32"/>
          <w:szCs w:val="32"/>
          <w:lang w:val="en-US" w:eastAsia="zh-CN" w:bidi="ar-SA"/>
        </w:rPr>
        <w:t>确诊需基因检测。</w:t>
      </w:r>
    </w:p>
    <w:p w14:paraId="2DF0C44E">
      <w:pPr>
        <w:pStyle w:val="2"/>
        <w:numPr>
          <w:ilvl w:val="1"/>
          <w:numId w:val="0"/>
        </w:numPr>
        <w:rPr>
          <w:rFonts w:hint="eastAsia" w:ascii="Times New Roman" w:hAnsi="Times New Roman" w:eastAsia="方正仿宋_GBK" w:cs="方正仿宋_GBK"/>
          <w:b/>
          <w:bCs/>
          <w:color w:val="auto"/>
          <w:kern w:val="2"/>
          <w:sz w:val="32"/>
          <w:szCs w:val="32"/>
          <w:lang w:val="en-US" w:eastAsia="zh-CN" w:bidi="ar-SA"/>
        </w:rPr>
      </w:pPr>
      <w:r>
        <w:rPr>
          <w:rFonts w:hint="eastAsia" w:ascii="Times New Roman" w:hAnsi="Times New Roman" w:eastAsia="方正仿宋_GBK" w:cs="方正仿宋_GBK"/>
          <w:b/>
          <w:bCs/>
          <w:color w:val="auto"/>
          <w:kern w:val="2"/>
          <w:sz w:val="32"/>
          <w:szCs w:val="32"/>
          <w:lang w:val="en-US" w:eastAsia="zh-CN" w:bidi="ar-SA"/>
        </w:rPr>
        <w:t>八十、戈谢病</w:t>
      </w:r>
    </w:p>
    <w:p w14:paraId="08FBF57F">
      <w:pPr>
        <w:pStyle w:val="2"/>
        <w:numPr>
          <w:ilvl w:val="1"/>
          <w:numId w:val="0"/>
        </w:numPr>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1.病史:不明原因的脾肿大、肝肿大、贫血、血小板减少、骨痛和神经系统症状;</w:t>
      </w:r>
    </w:p>
    <w:p w14:paraId="2E7496B5">
      <w:pPr>
        <w:pStyle w:val="2"/>
        <w:numPr>
          <w:ilvl w:val="1"/>
          <w:numId w:val="0"/>
        </w:numPr>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2.葡萄糖脑苷脂酶活性检测，为诊断的金标准;</w:t>
      </w:r>
    </w:p>
    <w:p w14:paraId="0C91F6C5">
      <w:pPr>
        <w:pStyle w:val="2"/>
        <w:numPr>
          <w:ilvl w:val="1"/>
          <w:numId w:val="0"/>
        </w:numPr>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3.骨髓形态学检查，大多数戈谢病患者骨髓形态学检查能发现特征性细胞即戈谢细胞;</w:t>
      </w:r>
    </w:p>
    <w:p w14:paraId="702EFF76">
      <w:pPr>
        <w:pStyle w:val="2"/>
        <w:numPr>
          <w:ilvl w:val="1"/>
          <w:numId w:val="0"/>
        </w:numPr>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4.基因检测，目前已发现的葡萄糖脑苷脂酶基因突变类型有400多种;</w:t>
      </w:r>
    </w:p>
    <w:p w14:paraId="048D414F">
      <w:pPr>
        <w:pStyle w:val="2"/>
        <w:numPr>
          <w:ilvl w:val="1"/>
          <w:numId w:val="0"/>
        </w:numPr>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5.生物标记物:Lyso-GL-1，可用于辅助诊断和随访监测。</w:t>
      </w:r>
    </w:p>
    <w:p w14:paraId="0BC57DE7">
      <w:pPr>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八十一、结节性硬化症</w:t>
      </w:r>
    </w:p>
    <w:p w14:paraId="61A36DCA">
      <w:pPr>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诊断特征包括主要特征和次要特征。结节性硬化症基因诊断标准明确:致病性突变(已报告致病性突变或功能确认结节性硬化症基因突变并影响结节性硬化症1/2复合体功能)可作为独立诊断标准。</w:t>
      </w:r>
    </w:p>
    <w:p w14:paraId="472806F9">
      <w:pPr>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主要特征:低黑色素性黄斑(≥3个，直径≥5mm)，血管纤维瘤(≥3个)或头部纤维斑块，非外伤性指(趾)甲或甲周纤维瘤(≥2个),鲨鱼皮斑，多发性视网膜错构瘤，皮质发育不良，室管膜下结节，室管膜下巨细胞星形细胞瘤，心脏横纹肌瘤，淋巴管平滑肌瘤病，血管平滑肌脂肪瘤(≥2)。</w:t>
      </w:r>
    </w:p>
    <w:p w14:paraId="6951CE19">
      <w:pPr>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次要特征:“斑斓”皮损，牙釉质点状凹陷(≥3个)，口内纤维瘤(≥1个)，视网膜脱色斑，多发性肾囊肿，非肾错构瘤，骨质硬化性病变。</w:t>
      </w:r>
    </w:p>
    <w:p w14:paraId="601C1CFB">
      <w:pPr>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诊断标准有明确诊断和可能诊断，明确诊断须具有2个主要特征或者具有1个主要特征+至少2个次要特征;可能诊断须具有1个主要特征或者至少2个次要特征。</w:t>
      </w:r>
    </w:p>
    <w:p w14:paraId="7989575C">
      <w:pPr>
        <w:pStyle w:val="2"/>
        <w:numPr>
          <w:ilvl w:val="1"/>
          <w:numId w:val="0"/>
        </w:numPr>
        <w:rPr>
          <w:rFonts w:hint="eastAsia" w:ascii="Times New Roman" w:hAnsi="Times New Roman" w:eastAsia="方正仿宋_GBK" w:cs="方正仿宋_GBK"/>
          <w:b/>
          <w:bCs/>
          <w:color w:val="auto"/>
          <w:kern w:val="2"/>
          <w:sz w:val="32"/>
          <w:szCs w:val="32"/>
          <w:lang w:val="en-US" w:eastAsia="zh-CN" w:bidi="ar-SA"/>
        </w:rPr>
      </w:pPr>
      <w:r>
        <w:rPr>
          <w:rFonts w:hint="eastAsia" w:ascii="Times New Roman" w:hAnsi="Times New Roman" w:eastAsia="方正仿宋_GBK" w:cs="方正仿宋_GBK"/>
          <w:b/>
          <w:bCs/>
          <w:color w:val="auto"/>
          <w:kern w:val="2"/>
          <w:sz w:val="32"/>
          <w:szCs w:val="32"/>
          <w:lang w:val="en-US" w:eastAsia="zh-CN" w:bidi="ar-SA"/>
        </w:rPr>
        <w:t>八十二、大动脉炎</w:t>
      </w:r>
    </w:p>
    <w:p w14:paraId="68A0FDE8">
      <w:pPr>
        <w:pStyle w:val="2"/>
        <w:numPr>
          <w:ilvl w:val="1"/>
          <w:numId w:val="0"/>
        </w:numPr>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1.巨细胞动脉炎;</w:t>
      </w:r>
    </w:p>
    <w:p w14:paraId="713C2F46">
      <w:pPr>
        <w:pStyle w:val="2"/>
        <w:numPr>
          <w:ilvl w:val="1"/>
          <w:numId w:val="0"/>
        </w:numPr>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2.慢性主动脉周围炎;</w:t>
      </w:r>
    </w:p>
    <w:p w14:paraId="3D0BF405">
      <w:pPr>
        <w:pStyle w:val="2"/>
        <w:numPr>
          <w:ilvl w:val="1"/>
          <w:numId w:val="0"/>
        </w:numPr>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3.其他免疫炎症性疾病伴发主动脉炎;</w:t>
      </w:r>
    </w:p>
    <w:p w14:paraId="02C6D48C">
      <w:pPr>
        <w:pStyle w:val="2"/>
        <w:numPr>
          <w:ilvl w:val="1"/>
          <w:numId w:val="0"/>
        </w:numPr>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4.累及主动脉及主动脉一级分支的大血管炎。</w:t>
      </w:r>
    </w:p>
    <w:p w14:paraId="304FDD22">
      <w:pPr>
        <w:rPr>
          <w:rFonts w:hint="eastAsia" w:ascii="Times New Roman" w:hAnsi="Times New Roman" w:eastAsia="方正仿宋_GBK" w:cs="方正仿宋_GBK"/>
          <w:b/>
          <w:bCs/>
          <w:color w:val="auto"/>
          <w:kern w:val="2"/>
          <w:sz w:val="32"/>
          <w:szCs w:val="32"/>
          <w:lang w:val="en-US" w:eastAsia="zh-CN" w:bidi="ar-SA"/>
        </w:rPr>
      </w:pPr>
      <w:r>
        <w:rPr>
          <w:rFonts w:hint="eastAsia" w:ascii="Times New Roman" w:hAnsi="Times New Roman" w:eastAsia="方正仿宋_GBK" w:cs="方正仿宋_GBK"/>
          <w:b/>
          <w:bCs/>
          <w:color w:val="auto"/>
          <w:kern w:val="2"/>
          <w:sz w:val="32"/>
          <w:szCs w:val="32"/>
          <w:lang w:val="en-US" w:eastAsia="zh-CN" w:bidi="ar-SA"/>
        </w:rPr>
        <w:t>八十三、进行性纤维化性间质性肺疾病</w:t>
      </w:r>
    </w:p>
    <w:p w14:paraId="4F4A0F45">
      <w:pPr>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在过去1年内，病情变化符合以下3项标准中至少2项，即可诊断:</w:t>
      </w:r>
    </w:p>
    <w:p w14:paraId="0F504449">
      <w:pPr>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1.呼吸道症状恶化;</w:t>
      </w:r>
    </w:p>
    <w:p w14:paraId="23BD79EF">
      <w:pPr>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2.有疾病进展的呼吸生理证据;</w:t>
      </w:r>
    </w:p>
    <w:p w14:paraId="7BE56A90">
      <w:pPr>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(1)随访1年内FVC%预计值绝对下降≥5%;</w:t>
      </w:r>
    </w:p>
    <w:p w14:paraId="4988D847">
      <w:pPr>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(2)随访1年内校正血红蛋白后的DLCO%预计值绝对下降≥10%;</w:t>
      </w:r>
    </w:p>
    <w:p w14:paraId="6A66FA1E">
      <w:pPr>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3.一种或多种疾病进展的影像学证据:</w:t>
      </w:r>
    </w:p>
    <w:p w14:paraId="60CD05A3">
      <w:pPr>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(1)牵拉性支气管扩张和细支气管扩张的范围或严重程度增加;</w:t>
      </w:r>
    </w:p>
    <w:p w14:paraId="6064EBAC">
      <w:pPr>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(2)伴有牵拉性支气管扩张的新增磨玻璃影;</w:t>
      </w:r>
    </w:p>
    <w:p w14:paraId="3B50CDDF">
      <w:pPr>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(3)新发细小网格影;</w:t>
      </w:r>
    </w:p>
    <w:p w14:paraId="135AAB69">
      <w:pPr>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(4)网状结构异常的范围或粗糙度增加;</w:t>
      </w:r>
    </w:p>
    <w:p w14:paraId="74FB5EDE">
      <w:pPr>
        <w:ind w:firstLine="640" w:firstLineChars="200"/>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(5)新出现的或增多的蜂窝影;</w:t>
      </w:r>
    </w:p>
    <w:p w14:paraId="46403A51">
      <w:pPr>
        <w:ind w:firstLine="640" w:firstLineChars="200"/>
        <w:rPr>
          <w:rFonts w:hint="default"/>
          <w:lang w:val="en-US" w:eastAsia="zh-CN"/>
        </w:rPr>
      </w:pPr>
      <w:r>
        <w:rPr>
          <w:rFonts w:hint="eastAsia" w:ascii="Times New Roman" w:hAnsi="Times New Roman" w:eastAsia="方正仿宋_GBK" w:cs="方正仿宋_GBK"/>
          <w:color w:val="auto"/>
          <w:kern w:val="2"/>
          <w:sz w:val="32"/>
          <w:szCs w:val="32"/>
          <w:lang w:val="en-US" w:eastAsia="zh-CN" w:bidi="ar-SA"/>
        </w:rPr>
        <w:t>(6)肺叶容积进一步缩小。</w:t>
      </w:r>
    </w:p>
    <w:p w14:paraId="6C653DE0">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32"/>
          <w:szCs w:val="32"/>
          <w:lang w:val="en-US" w:eastAsia="zh-CN"/>
        </w:rPr>
      </w:pPr>
    </w:p>
    <w:p w14:paraId="00D8F77E">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0"/>
          <w:sz w:val="32"/>
          <w:szCs w:val="32"/>
          <w:highlight w:val="none"/>
          <w:u w:val="none"/>
          <w:lang w:val="en-US" w:eastAsia="zh-CN"/>
        </w:rPr>
      </w:pPr>
      <w:r>
        <w:rPr>
          <w:rFonts w:hint="eastAsia" w:ascii="仿宋" w:hAnsi="仿宋" w:eastAsia="仿宋" w:cs="仿宋"/>
          <w:color w:val="auto"/>
          <w:sz w:val="32"/>
          <w:szCs w:val="32"/>
          <w:lang w:val="en-US" w:eastAsia="zh-CN"/>
        </w:rPr>
        <w:t>附件3</w:t>
      </w:r>
      <w:r>
        <w:rPr>
          <w:rFonts w:hint="eastAsia" w:ascii="仿宋" w:hAnsi="仿宋" w:eastAsia="仿宋" w:cs="仿宋"/>
          <w:color w:val="auto"/>
          <w:sz w:val="32"/>
          <w:szCs w:val="32"/>
          <w:highlight w:val="none"/>
          <w:lang w:val="en-US" w:eastAsia="zh-CN"/>
        </w:rPr>
        <w:t>：</w:t>
      </w:r>
      <w:r>
        <w:rPr>
          <w:rFonts w:hint="eastAsia" w:ascii="仿宋_GB2312" w:hAnsi="仿宋_GB2312" w:eastAsia="仿宋_GB2312" w:cs="仿宋_GB2312"/>
          <w:color w:val="auto"/>
          <w:kern w:val="0"/>
          <w:sz w:val="32"/>
          <w:szCs w:val="32"/>
          <w:u w:val="none"/>
          <w:lang w:val="en-US" w:eastAsia="zh-CN"/>
        </w:rPr>
        <w:t>门诊慢特病</w:t>
      </w:r>
      <w:r>
        <w:rPr>
          <w:rFonts w:hint="eastAsia" w:ascii="仿宋_GB2312" w:hAnsi="仿宋_GB2312" w:eastAsia="仿宋_GB2312" w:cs="仿宋_GB2312"/>
          <w:color w:val="auto"/>
          <w:kern w:val="0"/>
          <w:sz w:val="32"/>
          <w:szCs w:val="32"/>
          <w:highlight w:val="none"/>
          <w:u w:val="none"/>
          <w:lang w:val="en-US" w:eastAsia="zh-CN"/>
        </w:rPr>
        <w:t>起付线及报销比例</w:t>
      </w:r>
    </w:p>
    <w:tbl>
      <w:tblPr>
        <w:tblStyle w:val="3"/>
        <w:tblW w:w="89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33"/>
        <w:gridCol w:w="2884"/>
        <w:gridCol w:w="2072"/>
        <w:gridCol w:w="2103"/>
      </w:tblGrid>
      <w:tr w14:paraId="32B3D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992" w:type="dxa"/>
            <w:gridSpan w:val="4"/>
            <w:tcBorders>
              <w:top w:val="nil"/>
              <w:left w:val="nil"/>
              <w:bottom w:val="nil"/>
              <w:right w:val="nil"/>
            </w:tcBorders>
            <w:shd w:val="clear" w:color="auto" w:fill="auto"/>
            <w:noWrap/>
            <w:vAlign w:val="center"/>
          </w:tcPr>
          <w:p w14:paraId="4D68859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城乡居民门诊慢特病待遇政策</w:t>
            </w:r>
          </w:p>
        </w:tc>
      </w:tr>
      <w:tr w14:paraId="7F0F8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9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998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病种</w:t>
            </w:r>
          </w:p>
        </w:tc>
        <w:tc>
          <w:tcPr>
            <w:tcW w:w="49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7D6C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起付线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2F0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报销比例</w:t>
            </w:r>
          </w:p>
        </w:tc>
      </w:tr>
      <w:tr w14:paraId="62D10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9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49B2">
            <w:pPr>
              <w:keepNext w:val="0"/>
              <w:keepLines w:val="0"/>
              <w:pageBreakBefore w:val="0"/>
              <w:widowControl/>
              <w:kinsoku/>
              <w:wordWrap/>
              <w:overflowPunct/>
              <w:topLinePunct w:val="0"/>
              <w:autoSpaceDE/>
              <w:autoSpaceDN/>
              <w:bidi w:val="0"/>
              <w:adjustRightInd/>
              <w:snapToGrid/>
              <w:spacing w:line="420" w:lineRule="exact"/>
              <w:jc w:val="center"/>
              <w:rPr>
                <w:rFonts w:hint="eastAsia" w:ascii="宋体" w:hAnsi="宋体" w:eastAsia="宋体" w:cs="宋体"/>
                <w:b/>
                <w:i w:val="0"/>
                <w:color w:val="000000"/>
                <w:sz w:val="28"/>
                <w:szCs w:val="28"/>
                <w:u w:val="none"/>
              </w:rPr>
            </w:pP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8D0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二级及以下医疗机构</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FF1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三级医疗机构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96A05">
            <w:pPr>
              <w:keepNext w:val="0"/>
              <w:keepLines w:val="0"/>
              <w:pageBreakBefore w:val="0"/>
              <w:widowControl/>
              <w:kinsoku/>
              <w:wordWrap/>
              <w:overflowPunct/>
              <w:topLinePunct w:val="0"/>
              <w:autoSpaceDE/>
              <w:autoSpaceDN/>
              <w:bidi w:val="0"/>
              <w:adjustRightInd/>
              <w:snapToGrid/>
              <w:spacing w:line="420" w:lineRule="exact"/>
              <w:jc w:val="center"/>
              <w:rPr>
                <w:rFonts w:hint="eastAsia" w:ascii="宋体" w:hAnsi="宋体" w:eastAsia="宋体" w:cs="宋体"/>
                <w:b/>
                <w:i w:val="0"/>
                <w:color w:val="000000"/>
                <w:sz w:val="28"/>
                <w:szCs w:val="28"/>
                <w:u w:val="none"/>
              </w:rPr>
            </w:pPr>
          </w:p>
        </w:tc>
      </w:tr>
      <w:tr w14:paraId="4ABBA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CF9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普通慢性病</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1692">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300</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0AC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7C3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60%</w:t>
            </w:r>
          </w:p>
        </w:tc>
      </w:tr>
      <w:tr w14:paraId="79B07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DBB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特殊慢性病</w:t>
            </w:r>
          </w:p>
        </w:tc>
        <w:tc>
          <w:tcPr>
            <w:tcW w:w="49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673DE">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同住院，一个参保年度内按就诊最高类别医疗机构计算一次起付线。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4A91E">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同住院</w:t>
            </w:r>
          </w:p>
        </w:tc>
      </w:tr>
    </w:tbl>
    <w:p w14:paraId="2EF6B545">
      <w:pPr>
        <w:numPr>
          <w:ilvl w:val="0"/>
          <w:numId w:val="0"/>
        </w:numPr>
        <w:jc w:val="both"/>
        <w:rPr>
          <w:rFonts w:hint="eastAsia" w:ascii="仿宋" w:hAnsi="仿宋" w:eastAsia="仿宋" w:cs="仿宋"/>
          <w:color w:val="auto"/>
          <w:sz w:val="32"/>
          <w:szCs w:val="32"/>
          <w:lang w:val="en-US" w:eastAsia="zh-CN"/>
        </w:rPr>
      </w:pPr>
    </w:p>
    <w:tbl>
      <w:tblPr>
        <w:tblStyle w:val="3"/>
        <w:tblW w:w="89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24"/>
        <w:gridCol w:w="2196"/>
        <w:gridCol w:w="1993"/>
        <w:gridCol w:w="2779"/>
      </w:tblGrid>
      <w:tr w14:paraId="74665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992" w:type="dxa"/>
            <w:gridSpan w:val="4"/>
            <w:tcBorders>
              <w:top w:val="nil"/>
              <w:left w:val="nil"/>
              <w:bottom w:val="nil"/>
              <w:right w:val="nil"/>
            </w:tcBorders>
            <w:shd w:val="clear" w:color="auto" w:fill="auto"/>
            <w:noWrap/>
            <w:vAlign w:val="center"/>
          </w:tcPr>
          <w:p w14:paraId="316F632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城镇职工门诊慢特病待遇政策</w:t>
            </w:r>
          </w:p>
        </w:tc>
      </w:tr>
      <w:tr w14:paraId="3D6E6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389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待遇类别</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FFC7">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三级医院</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53F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二级医院</w:t>
            </w:r>
          </w:p>
        </w:tc>
        <w:tc>
          <w:tcPr>
            <w:tcW w:w="2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43BF">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一级医院（含乡镇卫生院、社区卫生服务中心）</w:t>
            </w:r>
          </w:p>
        </w:tc>
      </w:tr>
      <w:tr w14:paraId="75DB6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18D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起付标准</w:t>
            </w:r>
          </w:p>
        </w:tc>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616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900</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7FC1">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32E6D">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700</w:t>
            </w:r>
          </w:p>
        </w:tc>
      </w:tr>
      <w:tr w14:paraId="707CE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CCCE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报销比例</w:t>
            </w:r>
          </w:p>
        </w:tc>
        <w:tc>
          <w:tcPr>
            <w:tcW w:w="7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FDB34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同住院</w:t>
            </w:r>
          </w:p>
        </w:tc>
      </w:tr>
    </w:tbl>
    <w:p w14:paraId="0C6D1483">
      <w:pPr>
        <w:pStyle w:val="2"/>
        <w:numPr>
          <w:ilvl w:val="1"/>
          <w:numId w:val="0"/>
        </w:numPr>
        <w:rPr>
          <w:rFonts w:hint="eastAsia"/>
          <w:lang w:val="en-US" w:eastAsia="zh-CN"/>
        </w:rPr>
      </w:pPr>
    </w:p>
    <w:p w14:paraId="6A10FC02">
      <w:pPr>
        <w:rPr>
          <w:rFonts w:hint="eastAsia"/>
          <w:lang w:val="en-US" w:eastAsia="zh-CN"/>
        </w:rPr>
      </w:pPr>
    </w:p>
    <w:p w14:paraId="6CD9973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0"/>
          <w:sz w:val="32"/>
          <w:szCs w:val="32"/>
          <w:u w:val="none"/>
          <w:lang w:val="en-US" w:eastAsia="zh-CN"/>
        </w:rPr>
      </w:pPr>
    </w:p>
    <w:p w14:paraId="7DB5B52E">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0"/>
          <w:sz w:val="32"/>
          <w:szCs w:val="32"/>
          <w:u w:val="none"/>
          <w:lang w:val="en-US" w:eastAsia="zh-CN"/>
        </w:rPr>
      </w:pPr>
    </w:p>
    <w:p w14:paraId="71E2984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0"/>
          <w:sz w:val="32"/>
          <w:szCs w:val="32"/>
          <w:u w:val="none"/>
          <w:lang w:val="en-US" w:eastAsia="zh-CN"/>
        </w:rPr>
      </w:pPr>
    </w:p>
    <w:p w14:paraId="733C299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0"/>
          <w:sz w:val="32"/>
          <w:szCs w:val="32"/>
          <w:u w:val="none"/>
          <w:lang w:val="en-US" w:eastAsia="zh-CN"/>
        </w:rPr>
      </w:pPr>
    </w:p>
    <w:p w14:paraId="51E9AC20">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0"/>
          <w:sz w:val="32"/>
          <w:szCs w:val="32"/>
          <w:u w:val="none"/>
          <w:lang w:val="en-US" w:eastAsia="zh-CN"/>
        </w:rPr>
      </w:pPr>
    </w:p>
    <w:p w14:paraId="07B83355">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0"/>
          <w:sz w:val="32"/>
          <w:szCs w:val="32"/>
          <w:u w:val="none"/>
          <w:lang w:val="en-US" w:eastAsia="zh-CN"/>
        </w:rPr>
      </w:pPr>
    </w:p>
    <w:p w14:paraId="58B0F62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0"/>
          <w:sz w:val="32"/>
          <w:szCs w:val="32"/>
          <w:u w:val="none"/>
          <w:lang w:val="en-US" w:eastAsia="zh-CN"/>
        </w:rPr>
      </w:pPr>
    </w:p>
    <w:p w14:paraId="52900345">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0"/>
          <w:sz w:val="32"/>
          <w:szCs w:val="32"/>
          <w:u w:val="none"/>
          <w:lang w:val="en-US" w:eastAsia="zh-CN"/>
        </w:rPr>
      </w:pPr>
    </w:p>
    <w:p w14:paraId="7BC614B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0"/>
          <w:sz w:val="32"/>
          <w:szCs w:val="32"/>
          <w:u w:val="none"/>
          <w:lang w:val="en-US" w:eastAsia="zh-CN"/>
        </w:rPr>
      </w:pPr>
    </w:p>
    <w:p w14:paraId="75E2A399">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0"/>
          <w:sz w:val="32"/>
          <w:szCs w:val="32"/>
          <w:u w:val="none"/>
          <w:lang w:val="en-US" w:eastAsia="zh-CN"/>
        </w:rPr>
      </w:pPr>
    </w:p>
    <w:p w14:paraId="091EAA2C">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附件4</w:t>
      </w:r>
      <w:r>
        <w:rPr>
          <w:rFonts w:hint="eastAsia" w:ascii="仿宋_GB2312" w:hAnsi="仿宋_GB2312" w:eastAsia="仿宋_GB2312" w:cs="仿宋_GB2312"/>
          <w:color w:val="auto"/>
          <w:kern w:val="0"/>
          <w:sz w:val="32"/>
          <w:szCs w:val="32"/>
          <w:highlight w:val="none"/>
          <w:u w:val="none"/>
          <w:lang w:val="en-US" w:eastAsia="zh-CN"/>
        </w:rPr>
        <w:t>：</w:t>
      </w:r>
      <w:r>
        <w:rPr>
          <w:rFonts w:hint="eastAsia" w:ascii="仿宋_GB2312" w:hAnsi="仿宋_GB2312" w:eastAsia="仿宋_GB2312" w:cs="仿宋_GB2312"/>
          <w:color w:val="auto"/>
          <w:kern w:val="0"/>
          <w:sz w:val="32"/>
          <w:szCs w:val="32"/>
          <w:u w:val="none"/>
          <w:lang w:val="en-US" w:eastAsia="zh-CN"/>
        </w:rPr>
        <w:t xml:space="preserve">门诊慢特病年度限额  </w:t>
      </w:r>
    </w:p>
    <w:p w14:paraId="316B4CB1">
      <w:pPr>
        <w:numPr>
          <w:ilvl w:val="0"/>
          <w:numId w:val="0"/>
        </w:numPr>
        <w:jc w:val="center"/>
        <w:rPr>
          <w:rFonts w:hint="eastAsia" w:ascii="仿宋" w:hAnsi="仿宋" w:eastAsia="仿宋" w:cs="仿宋"/>
          <w:b w:val="0"/>
          <w:bCs w:val="0"/>
          <w:color w:val="auto"/>
          <w:sz w:val="36"/>
          <w:szCs w:val="36"/>
          <w:lang w:val="en-US" w:eastAsia="zh-CN"/>
        </w:rPr>
      </w:pPr>
      <w:r>
        <w:rPr>
          <w:rFonts w:hint="eastAsia" w:ascii="仿宋" w:hAnsi="仿宋" w:eastAsia="仿宋" w:cs="仿宋"/>
          <w:b w:val="0"/>
          <w:bCs w:val="0"/>
          <w:color w:val="auto"/>
          <w:sz w:val="36"/>
          <w:szCs w:val="36"/>
          <w:lang w:val="en-US" w:eastAsia="zh-CN"/>
        </w:rPr>
        <w:t>普通慢性病年度限额</w:t>
      </w:r>
    </w:p>
    <w:tbl>
      <w:tblPr>
        <w:tblStyle w:val="3"/>
        <w:tblW w:w="43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2"/>
        <w:gridCol w:w="2841"/>
        <w:gridCol w:w="1902"/>
        <w:gridCol w:w="1828"/>
      </w:tblGrid>
      <w:tr w14:paraId="62E0B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15" w:type="pct"/>
            <w:vMerge w:val="restart"/>
            <w:tcBorders>
              <w:top w:val="single" w:color="000000" w:sz="4" w:space="0"/>
              <w:left w:val="single" w:color="000000" w:sz="4" w:space="0"/>
              <w:right w:val="single" w:color="000000" w:sz="4" w:space="0"/>
            </w:tcBorders>
            <w:shd w:val="clear" w:color="auto" w:fill="auto"/>
            <w:vAlign w:val="center"/>
          </w:tcPr>
          <w:p w14:paraId="236D54ED">
            <w:pPr>
              <w:keepNext w:val="0"/>
              <w:keepLines w:val="0"/>
              <w:pageBreakBefore w:val="0"/>
              <w:widowControl/>
              <w:kinsoku/>
              <w:wordWrap/>
              <w:overflowPunct/>
              <w:topLinePunct w:val="0"/>
              <w:autoSpaceDE/>
              <w:autoSpaceDN/>
              <w:bidi w:val="0"/>
              <w:adjustRightInd/>
              <w:snapToGrid/>
              <w:spacing w:line="340" w:lineRule="exact"/>
              <w:jc w:val="center"/>
              <w:rPr>
                <w:rFonts w:hint="eastAsia" w:ascii="方正仿宋_GBK" w:hAnsi="方正仿宋_GBK" w:eastAsia="方正仿宋_GBK" w:cs="方正仿宋_GBK"/>
                <w:b/>
                <w:bCs/>
                <w:i w:val="0"/>
                <w:color w:val="auto"/>
                <w:sz w:val="30"/>
                <w:szCs w:val="30"/>
                <w:u w:val="none"/>
                <w:lang w:eastAsia="zh-CN"/>
              </w:rPr>
            </w:pPr>
            <w:r>
              <w:rPr>
                <w:rFonts w:hint="eastAsia" w:ascii="方正仿宋_GBK" w:hAnsi="方正仿宋_GBK" w:eastAsia="方正仿宋_GBK" w:cs="方正仿宋_GBK"/>
                <w:b/>
                <w:bCs/>
                <w:i w:val="0"/>
                <w:color w:val="auto"/>
                <w:sz w:val="30"/>
                <w:szCs w:val="30"/>
                <w:u w:val="none"/>
                <w:lang w:eastAsia="zh-CN"/>
              </w:rPr>
              <w:t>序号</w:t>
            </w:r>
          </w:p>
        </w:tc>
        <w:tc>
          <w:tcPr>
            <w:tcW w:w="1895" w:type="pct"/>
            <w:vMerge w:val="restart"/>
            <w:tcBorders>
              <w:top w:val="single" w:color="000000" w:sz="4" w:space="0"/>
              <w:left w:val="single" w:color="000000" w:sz="4" w:space="0"/>
              <w:right w:val="single" w:color="000000" w:sz="4" w:space="0"/>
            </w:tcBorders>
            <w:shd w:val="clear" w:color="auto" w:fill="auto"/>
            <w:vAlign w:val="center"/>
          </w:tcPr>
          <w:p w14:paraId="116CA56D">
            <w:pPr>
              <w:keepNext w:val="0"/>
              <w:keepLines w:val="0"/>
              <w:pageBreakBefore w:val="0"/>
              <w:widowControl/>
              <w:kinsoku/>
              <w:wordWrap/>
              <w:overflowPunct/>
              <w:topLinePunct w:val="0"/>
              <w:autoSpaceDE/>
              <w:autoSpaceDN/>
              <w:bidi w:val="0"/>
              <w:adjustRightInd/>
              <w:snapToGrid/>
              <w:spacing w:line="340" w:lineRule="exact"/>
              <w:jc w:val="center"/>
              <w:rPr>
                <w:rFonts w:hint="eastAsia" w:ascii="方正仿宋_GBK" w:hAnsi="方正仿宋_GBK" w:eastAsia="方正仿宋_GBK" w:cs="方正仿宋_GBK"/>
                <w:b/>
                <w:bCs/>
                <w:i w:val="0"/>
                <w:color w:val="auto"/>
                <w:sz w:val="30"/>
                <w:szCs w:val="30"/>
                <w:u w:val="none"/>
                <w:lang w:eastAsia="zh-CN"/>
              </w:rPr>
            </w:pPr>
            <w:r>
              <w:rPr>
                <w:rFonts w:hint="eastAsia" w:ascii="方正仿宋_GBK" w:hAnsi="方正仿宋_GBK" w:eastAsia="方正仿宋_GBK" w:cs="方正仿宋_GBK"/>
                <w:b/>
                <w:bCs/>
                <w:i w:val="0"/>
                <w:color w:val="auto"/>
                <w:sz w:val="30"/>
                <w:szCs w:val="30"/>
                <w:u w:val="none"/>
                <w:lang w:eastAsia="zh-CN"/>
              </w:rPr>
              <w:t>病种名称</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D6CC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
                <w:bCs/>
                <w:i w:val="0"/>
                <w:color w:val="auto"/>
                <w:kern w:val="0"/>
                <w:sz w:val="30"/>
                <w:szCs w:val="30"/>
                <w:u w:val="none"/>
                <w:lang w:val="en-US" w:eastAsia="zh-CN" w:bidi="ar"/>
              </w:rPr>
            </w:pPr>
            <w:r>
              <w:rPr>
                <w:rFonts w:hint="eastAsia" w:ascii="方正仿宋_GBK" w:hAnsi="方正仿宋_GBK" w:eastAsia="方正仿宋_GBK" w:cs="方正仿宋_GBK"/>
                <w:b/>
                <w:bCs/>
                <w:i w:val="0"/>
                <w:color w:val="auto"/>
                <w:kern w:val="0"/>
                <w:sz w:val="30"/>
                <w:szCs w:val="30"/>
                <w:u w:val="none"/>
                <w:lang w:val="en-US" w:eastAsia="zh-CN" w:bidi="ar"/>
              </w:rPr>
              <w:t>职工</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8BED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
                <w:bCs/>
                <w:i w:val="0"/>
                <w:color w:val="auto"/>
                <w:kern w:val="0"/>
                <w:sz w:val="30"/>
                <w:szCs w:val="30"/>
                <w:u w:val="none"/>
                <w:lang w:val="en-US" w:eastAsia="zh-CN" w:bidi="ar"/>
              </w:rPr>
            </w:pPr>
            <w:r>
              <w:rPr>
                <w:rFonts w:hint="eastAsia" w:ascii="方正仿宋_GBK" w:hAnsi="方正仿宋_GBK" w:eastAsia="方正仿宋_GBK" w:cs="方正仿宋_GBK"/>
                <w:b/>
                <w:bCs/>
                <w:i w:val="0"/>
                <w:color w:val="auto"/>
                <w:kern w:val="0"/>
                <w:sz w:val="30"/>
                <w:szCs w:val="30"/>
                <w:u w:val="none"/>
                <w:lang w:val="en-US" w:eastAsia="zh-CN" w:bidi="ar"/>
              </w:rPr>
              <w:t>居民</w:t>
            </w:r>
          </w:p>
        </w:tc>
      </w:tr>
      <w:tr w14:paraId="78378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15" w:type="pct"/>
            <w:vMerge w:val="continue"/>
            <w:tcBorders>
              <w:left w:val="single" w:color="000000" w:sz="4" w:space="0"/>
              <w:bottom w:val="single" w:color="000000" w:sz="4" w:space="0"/>
              <w:right w:val="single" w:color="000000" w:sz="4" w:space="0"/>
            </w:tcBorders>
            <w:shd w:val="clear" w:color="auto" w:fill="auto"/>
            <w:vAlign w:val="center"/>
          </w:tcPr>
          <w:p w14:paraId="2AFE41E4">
            <w:pPr>
              <w:keepNext w:val="0"/>
              <w:keepLines w:val="0"/>
              <w:pageBreakBefore w:val="0"/>
              <w:widowControl/>
              <w:kinsoku/>
              <w:wordWrap/>
              <w:overflowPunct/>
              <w:topLinePunct w:val="0"/>
              <w:autoSpaceDE/>
              <w:autoSpaceDN/>
              <w:bidi w:val="0"/>
              <w:adjustRightInd/>
              <w:snapToGrid/>
              <w:spacing w:line="340" w:lineRule="exact"/>
              <w:jc w:val="center"/>
              <w:rPr>
                <w:rFonts w:hint="eastAsia" w:ascii="方正仿宋_GBK" w:hAnsi="方正仿宋_GBK" w:eastAsia="方正仿宋_GBK" w:cs="方正仿宋_GBK"/>
                <w:b/>
                <w:bCs/>
                <w:i w:val="0"/>
                <w:color w:val="auto"/>
                <w:sz w:val="30"/>
                <w:szCs w:val="30"/>
                <w:u w:val="none"/>
              </w:rPr>
            </w:pPr>
          </w:p>
        </w:tc>
        <w:tc>
          <w:tcPr>
            <w:tcW w:w="1895" w:type="pct"/>
            <w:vMerge w:val="continue"/>
            <w:tcBorders>
              <w:left w:val="single" w:color="000000" w:sz="4" w:space="0"/>
              <w:bottom w:val="single" w:color="000000" w:sz="4" w:space="0"/>
              <w:right w:val="single" w:color="000000" w:sz="4" w:space="0"/>
            </w:tcBorders>
            <w:shd w:val="clear" w:color="auto" w:fill="auto"/>
            <w:vAlign w:val="center"/>
          </w:tcPr>
          <w:p w14:paraId="70EB3D73">
            <w:pPr>
              <w:keepNext w:val="0"/>
              <w:keepLines w:val="0"/>
              <w:pageBreakBefore w:val="0"/>
              <w:widowControl/>
              <w:kinsoku/>
              <w:wordWrap/>
              <w:overflowPunct/>
              <w:topLinePunct w:val="0"/>
              <w:autoSpaceDE/>
              <w:autoSpaceDN/>
              <w:bidi w:val="0"/>
              <w:adjustRightInd/>
              <w:snapToGrid/>
              <w:spacing w:line="340" w:lineRule="exact"/>
              <w:jc w:val="center"/>
              <w:rPr>
                <w:rFonts w:hint="eastAsia" w:ascii="方正仿宋_GBK" w:hAnsi="方正仿宋_GBK" w:eastAsia="方正仿宋_GBK" w:cs="方正仿宋_GBK"/>
                <w:b/>
                <w:bCs/>
                <w:i w:val="0"/>
                <w:color w:val="auto"/>
                <w:sz w:val="30"/>
                <w:szCs w:val="30"/>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87FE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
                <w:bCs/>
                <w:i w:val="0"/>
                <w:color w:val="auto"/>
                <w:kern w:val="0"/>
                <w:sz w:val="30"/>
                <w:szCs w:val="30"/>
                <w:u w:val="none"/>
                <w:lang w:val="en-US" w:eastAsia="zh-CN" w:bidi="ar"/>
              </w:rPr>
            </w:pPr>
            <w:r>
              <w:rPr>
                <w:rFonts w:hint="eastAsia" w:ascii="方正仿宋_GBK" w:hAnsi="方正仿宋_GBK" w:eastAsia="方正仿宋_GBK" w:cs="方正仿宋_GBK"/>
                <w:b/>
                <w:bCs/>
                <w:i w:val="0"/>
                <w:color w:val="auto"/>
                <w:kern w:val="0"/>
                <w:sz w:val="30"/>
                <w:szCs w:val="30"/>
                <w:u w:val="none"/>
                <w:lang w:val="en-US" w:eastAsia="zh-CN" w:bidi="ar"/>
              </w:rPr>
              <w:t>年支付限额</w:t>
            </w:r>
          </w:p>
          <w:p w14:paraId="308E8EE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
                <w:bCs/>
                <w:i w:val="0"/>
                <w:color w:val="auto"/>
                <w:kern w:val="2"/>
                <w:sz w:val="30"/>
                <w:szCs w:val="30"/>
                <w:u w:val="none"/>
                <w:lang w:val="en-US" w:eastAsia="zh-CN" w:bidi="ar-SA"/>
              </w:rPr>
            </w:pPr>
            <w:r>
              <w:rPr>
                <w:rFonts w:hint="eastAsia" w:ascii="方正仿宋_GBK" w:hAnsi="方正仿宋_GBK" w:eastAsia="方正仿宋_GBK" w:cs="方正仿宋_GBK"/>
                <w:b/>
                <w:bCs/>
                <w:i w:val="0"/>
                <w:color w:val="auto"/>
                <w:kern w:val="0"/>
                <w:sz w:val="30"/>
                <w:szCs w:val="30"/>
                <w:u w:val="none"/>
                <w:lang w:val="en-US" w:eastAsia="zh-CN" w:bidi="ar"/>
              </w:rPr>
              <w:t>（元）</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0482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
                <w:bCs/>
                <w:i w:val="0"/>
                <w:color w:val="auto"/>
                <w:kern w:val="2"/>
                <w:sz w:val="30"/>
                <w:szCs w:val="30"/>
                <w:u w:val="none"/>
                <w:lang w:val="en-US" w:eastAsia="zh-CN" w:bidi="ar-SA"/>
              </w:rPr>
            </w:pPr>
            <w:r>
              <w:rPr>
                <w:rFonts w:hint="eastAsia" w:ascii="方正仿宋_GBK" w:hAnsi="方正仿宋_GBK" w:eastAsia="方正仿宋_GBK" w:cs="方正仿宋_GBK"/>
                <w:b/>
                <w:bCs/>
                <w:i w:val="0"/>
                <w:color w:val="auto"/>
                <w:kern w:val="0"/>
                <w:sz w:val="30"/>
                <w:szCs w:val="30"/>
                <w:u w:val="none"/>
                <w:lang w:val="en-US" w:eastAsia="zh-CN" w:bidi="ar"/>
              </w:rPr>
              <w:t>年支付限额（元）</w:t>
            </w:r>
          </w:p>
        </w:tc>
      </w:tr>
      <w:tr w14:paraId="569E9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EA35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1</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A4FD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高血压</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0973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2500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086F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2100</w:t>
            </w:r>
          </w:p>
        </w:tc>
      </w:tr>
      <w:tr w14:paraId="2DD40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6A10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2</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A94A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冠心病</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29A9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3500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8DFD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3000</w:t>
            </w:r>
          </w:p>
        </w:tc>
      </w:tr>
      <w:tr w14:paraId="01CDF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1800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3</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54EB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心功能不全</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4D3D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3500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AAD7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3000</w:t>
            </w:r>
          </w:p>
        </w:tc>
      </w:tr>
      <w:tr w14:paraId="08A9B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1275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4</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781F5">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慢性阻塞性肺疾病</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3488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3500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7687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3000</w:t>
            </w:r>
          </w:p>
        </w:tc>
      </w:tr>
      <w:tr w14:paraId="1A085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DEC8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5</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6200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支气管哮喘</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A368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3500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EE2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3000</w:t>
            </w:r>
          </w:p>
        </w:tc>
      </w:tr>
      <w:tr w14:paraId="20589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33FF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6</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529D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溃疡性结肠炎</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6372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3500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C5EF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3000</w:t>
            </w:r>
          </w:p>
        </w:tc>
      </w:tr>
      <w:tr w14:paraId="5AF1C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FB19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7</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DA7E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晚期血吸虫病</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643D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3500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5B9F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3000</w:t>
            </w:r>
          </w:p>
        </w:tc>
      </w:tr>
      <w:tr w14:paraId="003D0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4920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8</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7B86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自身免疫性肝病</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CCD0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8000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85D4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3000</w:t>
            </w:r>
          </w:p>
        </w:tc>
      </w:tr>
      <w:tr w14:paraId="695C0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C43E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9</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4C92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慢性肾脏病</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9030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3500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5142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3000</w:t>
            </w:r>
          </w:p>
        </w:tc>
      </w:tr>
      <w:tr w14:paraId="67A0B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3133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10</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2155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肾病综合征</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8BDC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3500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6A03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3000</w:t>
            </w:r>
          </w:p>
        </w:tc>
      </w:tr>
      <w:tr w14:paraId="691C4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D356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11</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44C2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糖尿病</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036E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3500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52DD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3000</w:t>
            </w:r>
          </w:p>
        </w:tc>
      </w:tr>
      <w:tr w14:paraId="79532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87B7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12</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90A2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甲状腺功能亢进</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2F01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lang w:val="en-US"/>
              </w:rPr>
            </w:pPr>
            <w:r>
              <w:rPr>
                <w:rFonts w:hint="eastAsia" w:ascii="方正仿宋_GBK" w:hAnsi="方正仿宋_GBK" w:eastAsia="方正仿宋_GBK" w:cs="方正仿宋_GBK"/>
                <w:i w:val="0"/>
                <w:color w:val="auto"/>
                <w:kern w:val="0"/>
                <w:sz w:val="30"/>
                <w:szCs w:val="30"/>
                <w:u w:val="none"/>
                <w:lang w:val="en-US" w:eastAsia="zh-CN" w:bidi="ar"/>
              </w:rPr>
              <w:t>2400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F7B7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lang w:val="en-US"/>
              </w:rPr>
            </w:pPr>
            <w:r>
              <w:rPr>
                <w:rFonts w:hint="eastAsia" w:ascii="方正仿宋_GBK" w:hAnsi="方正仿宋_GBK" w:eastAsia="方正仿宋_GBK" w:cs="方正仿宋_GBK"/>
                <w:i w:val="0"/>
                <w:color w:val="auto"/>
                <w:kern w:val="0"/>
                <w:sz w:val="30"/>
                <w:szCs w:val="30"/>
                <w:u w:val="none"/>
                <w:lang w:val="en-US" w:eastAsia="zh-CN" w:bidi="ar"/>
              </w:rPr>
              <w:t>2000</w:t>
            </w:r>
          </w:p>
        </w:tc>
      </w:tr>
      <w:tr w14:paraId="07F40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5DD0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13</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D5DF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甲状腺功能减退</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7E92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lang w:val="en-US"/>
              </w:rPr>
            </w:pPr>
            <w:r>
              <w:rPr>
                <w:rFonts w:hint="eastAsia" w:ascii="方正仿宋_GBK" w:hAnsi="方正仿宋_GBK" w:eastAsia="方正仿宋_GBK" w:cs="方正仿宋_GBK"/>
                <w:i w:val="0"/>
                <w:color w:val="auto"/>
                <w:kern w:val="0"/>
                <w:sz w:val="30"/>
                <w:szCs w:val="30"/>
                <w:u w:val="none"/>
                <w:lang w:val="en-US" w:eastAsia="zh-CN" w:bidi="ar"/>
              </w:rPr>
              <w:t>2400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5A44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lang w:val="en-US"/>
              </w:rPr>
            </w:pPr>
            <w:r>
              <w:rPr>
                <w:rFonts w:hint="eastAsia" w:ascii="方正仿宋_GBK" w:hAnsi="方正仿宋_GBK" w:eastAsia="方正仿宋_GBK" w:cs="方正仿宋_GBK"/>
                <w:i w:val="0"/>
                <w:color w:val="auto"/>
                <w:kern w:val="0"/>
                <w:sz w:val="30"/>
                <w:szCs w:val="30"/>
                <w:u w:val="none"/>
                <w:lang w:val="en-US" w:eastAsia="zh-CN" w:bidi="ar"/>
              </w:rPr>
              <w:t>2000</w:t>
            </w:r>
          </w:p>
        </w:tc>
      </w:tr>
      <w:tr w14:paraId="23930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FEEE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14</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959D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脑卒中</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7A49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3500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D664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3000</w:t>
            </w:r>
          </w:p>
        </w:tc>
      </w:tr>
      <w:tr w14:paraId="6C19F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0922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15</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94FB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癫痫</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0EAF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3500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542C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3000</w:t>
            </w:r>
          </w:p>
        </w:tc>
      </w:tr>
      <w:tr w14:paraId="4597F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09C1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16</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6E24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帕金森综合症</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ECE6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3500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F644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3000</w:t>
            </w:r>
          </w:p>
        </w:tc>
      </w:tr>
      <w:tr w14:paraId="0E6D4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1404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17</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B8B2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阿尔茨海默病（老年痴呆）</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A8A0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3500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9A99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3000</w:t>
            </w:r>
          </w:p>
        </w:tc>
      </w:tr>
      <w:tr w14:paraId="4DA6F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2542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18</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6C90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重症肌无力</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C89A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3500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B788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3000</w:t>
            </w:r>
          </w:p>
        </w:tc>
      </w:tr>
      <w:tr w14:paraId="5F5A8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2DDE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19</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DDCB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肌萎缩侧索硬化症</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B1F5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lang w:val="en-US"/>
              </w:rPr>
            </w:pPr>
            <w:r>
              <w:rPr>
                <w:rFonts w:hint="eastAsia" w:ascii="方正仿宋_GBK" w:hAnsi="方正仿宋_GBK" w:eastAsia="方正仿宋_GBK" w:cs="方正仿宋_GBK"/>
                <w:i w:val="0"/>
                <w:color w:val="auto"/>
                <w:kern w:val="0"/>
                <w:sz w:val="30"/>
                <w:szCs w:val="30"/>
                <w:u w:val="none"/>
                <w:lang w:val="en-US" w:eastAsia="zh-CN" w:bidi="ar"/>
              </w:rPr>
              <w:t>18000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8D67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lang w:val="en-US"/>
              </w:rPr>
            </w:pPr>
            <w:r>
              <w:rPr>
                <w:rFonts w:hint="eastAsia" w:ascii="方正仿宋_GBK" w:hAnsi="方正仿宋_GBK" w:eastAsia="方正仿宋_GBK" w:cs="方正仿宋_GBK"/>
                <w:i w:val="0"/>
                <w:color w:val="auto"/>
                <w:kern w:val="0"/>
                <w:sz w:val="30"/>
                <w:szCs w:val="30"/>
                <w:u w:val="none"/>
                <w:lang w:val="en-US" w:eastAsia="zh-CN" w:bidi="ar"/>
              </w:rPr>
              <w:t>15000</w:t>
            </w:r>
          </w:p>
        </w:tc>
      </w:tr>
      <w:tr w14:paraId="76C9A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69CA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20</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8737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青光眼</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7AD6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3500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1D97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3000</w:t>
            </w:r>
          </w:p>
        </w:tc>
      </w:tr>
      <w:tr w14:paraId="380F9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CAEF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21</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AC44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黄斑性眼病</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7D41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8000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1396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3000</w:t>
            </w:r>
          </w:p>
        </w:tc>
      </w:tr>
      <w:tr w14:paraId="7C617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vMerge w:val="restart"/>
            <w:tcBorders>
              <w:top w:val="single" w:color="000000" w:sz="4" w:space="0"/>
              <w:left w:val="single" w:color="000000" w:sz="4" w:space="0"/>
              <w:right w:val="single" w:color="000000" w:sz="4" w:space="0"/>
            </w:tcBorders>
            <w:shd w:val="clear" w:color="auto" w:fill="auto"/>
            <w:vAlign w:val="center"/>
          </w:tcPr>
          <w:p w14:paraId="19F87ED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22</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D3E7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银屑病（非生物制剂治疗）</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8AC2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3500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BB5A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3000</w:t>
            </w:r>
          </w:p>
        </w:tc>
      </w:tr>
      <w:tr w14:paraId="0D387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vMerge w:val="continue"/>
            <w:tcBorders>
              <w:left w:val="single" w:color="000000" w:sz="4" w:space="0"/>
              <w:bottom w:val="single" w:color="000000" w:sz="4" w:space="0"/>
              <w:right w:val="single" w:color="000000" w:sz="4" w:space="0"/>
            </w:tcBorders>
            <w:shd w:val="clear" w:color="auto" w:fill="auto"/>
            <w:vAlign w:val="center"/>
          </w:tcPr>
          <w:p w14:paraId="7EE8677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FB7F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银屑病（生物制剂治疗）</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D5BD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20000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09E8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15000</w:t>
            </w:r>
          </w:p>
        </w:tc>
      </w:tr>
      <w:tr w14:paraId="6241E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5DE2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23</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3C21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白癜风</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A542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3500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00C9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3000</w:t>
            </w:r>
          </w:p>
        </w:tc>
      </w:tr>
      <w:tr w14:paraId="033AD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2808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24</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3B3A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慢性乙型肝炎</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119C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5000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B00E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3000</w:t>
            </w:r>
          </w:p>
        </w:tc>
      </w:tr>
      <w:tr w14:paraId="3A1FC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15" w:type="pct"/>
            <w:vMerge w:val="restart"/>
            <w:tcBorders>
              <w:top w:val="single" w:color="000000" w:sz="4" w:space="0"/>
              <w:left w:val="single" w:color="000000" w:sz="4" w:space="0"/>
              <w:right w:val="single" w:color="000000" w:sz="4" w:space="0"/>
            </w:tcBorders>
            <w:shd w:val="clear" w:color="auto" w:fill="auto"/>
            <w:vAlign w:val="center"/>
          </w:tcPr>
          <w:p w14:paraId="36D69AF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25</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BA07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慢性丙型肝炎（非1B型）</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4BA7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8000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C8E0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3000</w:t>
            </w:r>
          </w:p>
        </w:tc>
      </w:tr>
      <w:tr w14:paraId="01340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vMerge w:val="continue"/>
            <w:tcBorders>
              <w:left w:val="single" w:color="000000" w:sz="4" w:space="0"/>
              <w:bottom w:val="single" w:color="000000" w:sz="4" w:space="0"/>
              <w:right w:val="single" w:color="000000" w:sz="4" w:space="0"/>
            </w:tcBorders>
            <w:shd w:val="clear" w:color="auto" w:fill="auto"/>
            <w:vAlign w:val="center"/>
          </w:tcPr>
          <w:p w14:paraId="034B12A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0799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慢性丙型肝炎（1B型）</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0C3F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8000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0EC1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3000</w:t>
            </w:r>
          </w:p>
        </w:tc>
      </w:tr>
      <w:tr w14:paraId="21D1D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4C20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26</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AB88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非耐药性结核病</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8F19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3500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0921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3000</w:t>
            </w:r>
          </w:p>
        </w:tc>
      </w:tr>
      <w:tr w14:paraId="228D8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85E9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27</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1E0E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艾滋病</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51B4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3500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4A34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3000</w:t>
            </w:r>
          </w:p>
        </w:tc>
      </w:tr>
      <w:tr w14:paraId="5054E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428B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28</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B7DC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类风湿性关节炎</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C0D3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3500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9D4A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3000</w:t>
            </w:r>
          </w:p>
        </w:tc>
      </w:tr>
      <w:tr w14:paraId="35128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2539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29</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ABAB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强直性脊柱炎</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54B5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3500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C4B1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3000</w:t>
            </w:r>
          </w:p>
        </w:tc>
      </w:tr>
      <w:tr w14:paraId="304CB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9EF5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30</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524E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白塞氏病</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4BF1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3500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2B9F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3000</w:t>
            </w:r>
          </w:p>
        </w:tc>
      </w:tr>
      <w:tr w14:paraId="7079D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D387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31</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03E1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系统性硬化症</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D1F6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3500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72E4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3000</w:t>
            </w:r>
          </w:p>
        </w:tc>
      </w:tr>
      <w:tr w14:paraId="2E8E8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3416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32</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9412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干燥综合征</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2713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3500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E8EA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3000</w:t>
            </w:r>
          </w:p>
        </w:tc>
      </w:tr>
      <w:tr w14:paraId="08BCF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2036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33</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59A65">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多发性肌炎</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C30B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3500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325B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3000</w:t>
            </w:r>
          </w:p>
        </w:tc>
      </w:tr>
      <w:tr w14:paraId="5DDED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0AE0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34</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0C4B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皮肌炎</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8713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3500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9377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3000</w:t>
            </w:r>
          </w:p>
        </w:tc>
      </w:tr>
      <w:tr w14:paraId="13761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0548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35</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3C28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结节性多动脉炎</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D0B4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3500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844C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3000</w:t>
            </w:r>
          </w:p>
        </w:tc>
      </w:tr>
      <w:tr w14:paraId="1CB73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8F52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36</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B04B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脑瘫</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9034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3500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C168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3000</w:t>
            </w:r>
          </w:p>
        </w:tc>
      </w:tr>
      <w:tr w14:paraId="07705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F748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37</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AD36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肝硬化</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5E37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5600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72C5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4200</w:t>
            </w:r>
          </w:p>
        </w:tc>
      </w:tr>
      <w:tr w14:paraId="62E0C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861D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38</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BAD4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精神障碍</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65D9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4800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81D7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3600</w:t>
            </w:r>
          </w:p>
        </w:tc>
      </w:tr>
      <w:tr w14:paraId="2E7FA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70FA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39</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5AE5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ANCA相关血管炎</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E09C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10000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7826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8000</w:t>
            </w:r>
          </w:p>
        </w:tc>
      </w:tr>
      <w:tr w14:paraId="4C296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2D4B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40</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12EB6">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心脏瓣膜置换术后</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0EB2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5000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A605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4000</w:t>
            </w:r>
          </w:p>
        </w:tc>
      </w:tr>
      <w:tr w14:paraId="4DB8A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8AED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41</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8366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血管支架植入术后</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6FF5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5000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7DAF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4000</w:t>
            </w:r>
          </w:p>
        </w:tc>
      </w:tr>
      <w:tr w14:paraId="44BF7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2AFE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42</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0384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心脏冠脉搭桥术后</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8486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5000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F8FF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4000</w:t>
            </w:r>
          </w:p>
        </w:tc>
      </w:tr>
      <w:tr w14:paraId="673A5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C490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43</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BA2B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进行性肌营养不良症</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F069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7000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FEBD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6000</w:t>
            </w:r>
          </w:p>
        </w:tc>
      </w:tr>
      <w:tr w14:paraId="039B5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985D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44</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EE1F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严重性春季角结膜炎</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B843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2000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B9E7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1800</w:t>
            </w:r>
          </w:p>
        </w:tc>
      </w:tr>
      <w:tr w14:paraId="495D0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vMerge w:val="restart"/>
            <w:tcBorders>
              <w:top w:val="single" w:color="000000" w:sz="4" w:space="0"/>
              <w:left w:val="single" w:color="000000" w:sz="4" w:space="0"/>
              <w:right w:val="single" w:color="000000" w:sz="4" w:space="0"/>
            </w:tcBorders>
            <w:shd w:val="clear" w:color="auto" w:fill="auto"/>
            <w:vAlign w:val="center"/>
          </w:tcPr>
          <w:p w14:paraId="6F408D2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45</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F736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慢性荨麻疹（普通型）</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7C7C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2000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3021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1800</w:t>
            </w:r>
          </w:p>
        </w:tc>
      </w:tr>
      <w:tr w14:paraId="685DE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vMerge w:val="continue"/>
            <w:tcBorders>
              <w:left w:val="single" w:color="000000" w:sz="4" w:space="0"/>
              <w:bottom w:val="single" w:color="000000" w:sz="4" w:space="0"/>
              <w:right w:val="single" w:color="000000" w:sz="4" w:space="0"/>
            </w:tcBorders>
            <w:shd w:val="clear" w:color="auto" w:fill="auto"/>
            <w:vAlign w:val="center"/>
          </w:tcPr>
          <w:p w14:paraId="59ED747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C416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慢性荨麻疹（难治型）</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E103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27000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91C4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24000</w:t>
            </w:r>
          </w:p>
        </w:tc>
      </w:tr>
      <w:tr w14:paraId="21F25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C1FE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46</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93CC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阵发性睡眠性血红蛋白尿</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17C5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48000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1EEA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42000</w:t>
            </w:r>
          </w:p>
        </w:tc>
      </w:tr>
      <w:tr w14:paraId="1508D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46FC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47</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6A41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非典型溶血性尿毒症</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352A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24000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2CE0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21000</w:t>
            </w:r>
          </w:p>
        </w:tc>
      </w:tr>
      <w:tr w14:paraId="70C1C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A9E4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48</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4A1C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发作性睡病</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4595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48000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A57A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42000</w:t>
            </w:r>
          </w:p>
        </w:tc>
      </w:tr>
      <w:tr w14:paraId="21AB7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002D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49</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F519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低磷性佝偻病</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4078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40000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DF69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35000</w:t>
            </w:r>
          </w:p>
        </w:tc>
      </w:tr>
      <w:tr w14:paraId="090A5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3EF2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50</w:t>
            </w:r>
          </w:p>
        </w:tc>
        <w:tc>
          <w:tcPr>
            <w:tcW w:w="1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816F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短肠综合征</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CDD1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13600</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7A89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11900</w:t>
            </w:r>
          </w:p>
        </w:tc>
      </w:tr>
    </w:tbl>
    <w:p w14:paraId="748DFEAD"/>
    <w:p w14:paraId="6E9CE584"/>
    <w:p w14:paraId="1101E7A7"/>
    <w:p w14:paraId="596DB561"/>
    <w:p w14:paraId="0ED18B44"/>
    <w:p w14:paraId="4717E20E"/>
    <w:p w14:paraId="42B46BA1"/>
    <w:p w14:paraId="34BDE9F7"/>
    <w:p w14:paraId="02C8DFFF"/>
    <w:p w14:paraId="7B50A9FF"/>
    <w:p w14:paraId="068DC17C">
      <w:pPr>
        <w:jc w:val="center"/>
        <w:rPr>
          <w:rFonts w:hint="eastAsia" w:ascii="仿宋" w:hAnsi="仿宋" w:eastAsia="仿宋" w:cs="仿宋"/>
          <w:strike/>
          <w:dstrike w:val="0"/>
          <w:color w:val="auto"/>
          <w:sz w:val="36"/>
          <w:szCs w:val="36"/>
          <w:highlight w:val="green"/>
          <w:lang w:val="en-US" w:eastAsia="zh-CN"/>
        </w:rPr>
      </w:pPr>
      <w:r>
        <w:rPr>
          <w:rFonts w:hint="eastAsia" w:ascii="仿宋" w:hAnsi="仿宋" w:eastAsia="仿宋" w:cs="仿宋"/>
          <w:color w:val="auto"/>
          <w:sz w:val="36"/>
          <w:szCs w:val="36"/>
          <w:lang w:val="en-US" w:eastAsia="zh-CN"/>
        </w:rPr>
        <w:t>特殊慢性病年度限额</w:t>
      </w:r>
    </w:p>
    <w:tbl>
      <w:tblPr>
        <w:tblStyle w:val="3"/>
        <w:tblW w:w="444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5"/>
        <w:gridCol w:w="3132"/>
        <w:gridCol w:w="1771"/>
        <w:gridCol w:w="1770"/>
      </w:tblGrid>
      <w:tr w14:paraId="11766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97" w:type="pct"/>
            <w:vMerge w:val="restart"/>
            <w:tcBorders>
              <w:top w:val="single" w:color="000000" w:sz="4" w:space="0"/>
              <w:left w:val="single" w:color="000000" w:sz="4" w:space="0"/>
              <w:right w:val="single" w:color="000000" w:sz="4" w:space="0"/>
            </w:tcBorders>
            <w:shd w:val="clear" w:color="auto" w:fill="auto"/>
            <w:vAlign w:val="center"/>
          </w:tcPr>
          <w:p w14:paraId="17C02B5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
                <w:bCs/>
                <w:i w:val="0"/>
                <w:color w:val="auto"/>
                <w:kern w:val="0"/>
                <w:sz w:val="30"/>
                <w:szCs w:val="30"/>
                <w:u w:val="none"/>
                <w:lang w:val="en-US" w:eastAsia="zh-CN" w:bidi="ar"/>
              </w:rPr>
            </w:pPr>
            <w:r>
              <w:rPr>
                <w:rFonts w:hint="eastAsia" w:ascii="方正仿宋_GBK" w:hAnsi="方正仿宋_GBK" w:eastAsia="方正仿宋_GBK" w:cs="方正仿宋_GBK"/>
                <w:b/>
                <w:bCs/>
                <w:i w:val="0"/>
                <w:color w:val="auto"/>
                <w:kern w:val="0"/>
                <w:sz w:val="30"/>
                <w:szCs w:val="30"/>
                <w:u w:val="none"/>
                <w:lang w:val="en-US" w:eastAsia="zh-CN" w:bidi="ar"/>
              </w:rPr>
              <w:t>序号</w:t>
            </w:r>
          </w:p>
        </w:tc>
        <w:tc>
          <w:tcPr>
            <w:tcW w:w="20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E042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
                <w:bCs/>
                <w:i w:val="0"/>
                <w:color w:val="auto"/>
                <w:sz w:val="30"/>
                <w:szCs w:val="30"/>
                <w:u w:val="none"/>
              </w:rPr>
            </w:pPr>
            <w:r>
              <w:rPr>
                <w:rFonts w:hint="eastAsia" w:ascii="方正仿宋_GBK" w:hAnsi="方正仿宋_GBK" w:eastAsia="方正仿宋_GBK" w:cs="方正仿宋_GBK"/>
                <w:b/>
                <w:bCs/>
                <w:i w:val="0"/>
                <w:color w:val="auto"/>
                <w:kern w:val="0"/>
                <w:sz w:val="30"/>
                <w:szCs w:val="30"/>
                <w:u w:val="none"/>
                <w:lang w:val="en-US" w:eastAsia="zh-CN" w:bidi="ar"/>
              </w:rPr>
              <w:t>病种名称</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A9EC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
                <w:bCs/>
                <w:i w:val="0"/>
                <w:color w:val="auto"/>
                <w:sz w:val="30"/>
                <w:szCs w:val="30"/>
                <w:u w:val="none"/>
                <w:lang w:eastAsia="zh-CN"/>
              </w:rPr>
            </w:pPr>
            <w:r>
              <w:rPr>
                <w:rFonts w:hint="eastAsia" w:ascii="方正仿宋_GBK" w:hAnsi="方正仿宋_GBK" w:eastAsia="方正仿宋_GBK" w:cs="方正仿宋_GBK"/>
                <w:b/>
                <w:bCs/>
                <w:i w:val="0"/>
                <w:color w:val="auto"/>
                <w:sz w:val="30"/>
                <w:szCs w:val="30"/>
                <w:u w:val="none"/>
                <w:lang w:eastAsia="zh-CN"/>
              </w:rPr>
              <w:t>城镇职工</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3866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b/>
                <w:bCs/>
                <w:i w:val="0"/>
                <w:color w:val="auto"/>
                <w:kern w:val="0"/>
                <w:sz w:val="30"/>
                <w:szCs w:val="30"/>
                <w:u w:val="none"/>
                <w:lang w:val="en-US" w:eastAsia="zh-CN" w:bidi="ar"/>
              </w:rPr>
            </w:pPr>
            <w:r>
              <w:rPr>
                <w:rFonts w:hint="eastAsia" w:ascii="方正仿宋_GBK" w:hAnsi="方正仿宋_GBK" w:eastAsia="方正仿宋_GBK" w:cs="方正仿宋_GBK"/>
                <w:b/>
                <w:bCs/>
                <w:i w:val="0"/>
                <w:color w:val="auto"/>
                <w:kern w:val="0"/>
                <w:sz w:val="30"/>
                <w:szCs w:val="30"/>
                <w:u w:val="none"/>
                <w:lang w:val="en-US" w:eastAsia="zh-CN" w:bidi="ar"/>
              </w:rPr>
              <w:t>城乡居民</w:t>
            </w:r>
          </w:p>
        </w:tc>
      </w:tr>
      <w:tr w14:paraId="7C203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597" w:type="pct"/>
            <w:vMerge w:val="continue"/>
            <w:tcBorders>
              <w:left w:val="single" w:color="000000" w:sz="4" w:space="0"/>
              <w:bottom w:val="single" w:color="000000" w:sz="4" w:space="0"/>
              <w:right w:val="single" w:color="000000" w:sz="4" w:space="0"/>
            </w:tcBorders>
            <w:shd w:val="clear" w:color="auto" w:fill="auto"/>
            <w:vAlign w:val="center"/>
          </w:tcPr>
          <w:p w14:paraId="15C2E639">
            <w:pPr>
              <w:keepNext w:val="0"/>
              <w:keepLines w:val="0"/>
              <w:pageBreakBefore w:val="0"/>
              <w:widowControl/>
              <w:kinsoku/>
              <w:wordWrap/>
              <w:overflowPunct/>
              <w:topLinePunct w:val="0"/>
              <w:autoSpaceDE/>
              <w:autoSpaceDN/>
              <w:bidi w:val="0"/>
              <w:adjustRightInd/>
              <w:snapToGrid/>
              <w:spacing w:line="340" w:lineRule="exact"/>
              <w:jc w:val="center"/>
              <w:rPr>
                <w:rFonts w:hint="eastAsia" w:ascii="方正仿宋_GBK" w:hAnsi="方正仿宋_GBK" w:eastAsia="方正仿宋_GBK" w:cs="方正仿宋_GBK"/>
                <w:b/>
                <w:bCs/>
                <w:i w:val="0"/>
                <w:color w:val="auto"/>
                <w:sz w:val="30"/>
                <w:szCs w:val="30"/>
                <w:u w:val="none"/>
              </w:rPr>
            </w:pPr>
          </w:p>
        </w:tc>
        <w:tc>
          <w:tcPr>
            <w:tcW w:w="20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075EF">
            <w:pPr>
              <w:keepNext w:val="0"/>
              <w:keepLines w:val="0"/>
              <w:pageBreakBefore w:val="0"/>
              <w:widowControl/>
              <w:kinsoku/>
              <w:wordWrap/>
              <w:overflowPunct/>
              <w:topLinePunct w:val="0"/>
              <w:autoSpaceDE/>
              <w:autoSpaceDN/>
              <w:bidi w:val="0"/>
              <w:adjustRightInd/>
              <w:snapToGrid/>
              <w:spacing w:line="340" w:lineRule="exact"/>
              <w:jc w:val="center"/>
              <w:rPr>
                <w:rFonts w:hint="eastAsia" w:ascii="方正仿宋_GBK" w:hAnsi="方正仿宋_GBK" w:eastAsia="方正仿宋_GBK" w:cs="方正仿宋_GBK"/>
                <w:b/>
                <w:bCs/>
                <w:i w:val="0"/>
                <w:color w:val="auto"/>
                <w:sz w:val="30"/>
                <w:szCs w:val="30"/>
                <w:u w:val="none"/>
              </w:rPr>
            </w:pP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F792E">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方正仿宋_GBK" w:hAnsi="方正仿宋_GBK" w:eastAsia="方正仿宋_GBK" w:cs="方正仿宋_GBK"/>
                <w:b/>
                <w:bCs/>
                <w:i w:val="0"/>
                <w:color w:val="auto"/>
                <w:sz w:val="30"/>
                <w:szCs w:val="30"/>
                <w:u w:val="none"/>
              </w:rPr>
            </w:pPr>
            <w:r>
              <w:rPr>
                <w:rFonts w:hint="eastAsia" w:ascii="方正仿宋_GBK" w:hAnsi="方正仿宋_GBK" w:eastAsia="方正仿宋_GBK" w:cs="方正仿宋_GBK"/>
                <w:b/>
                <w:bCs/>
                <w:i w:val="0"/>
                <w:color w:val="auto"/>
                <w:kern w:val="0"/>
                <w:sz w:val="30"/>
                <w:szCs w:val="30"/>
                <w:u w:val="none"/>
                <w:lang w:val="en-US" w:eastAsia="zh-CN" w:bidi="ar"/>
              </w:rPr>
              <w:t>年支付限额（元）</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79AA9">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方正仿宋_GBK" w:hAnsi="方正仿宋_GBK" w:eastAsia="方正仿宋_GBK" w:cs="方正仿宋_GBK"/>
                <w:b/>
                <w:bCs/>
                <w:i w:val="0"/>
                <w:color w:val="auto"/>
                <w:sz w:val="30"/>
                <w:szCs w:val="30"/>
                <w:u w:val="none"/>
              </w:rPr>
            </w:pPr>
            <w:r>
              <w:rPr>
                <w:rFonts w:hint="eastAsia" w:ascii="方正仿宋_GBK" w:hAnsi="方正仿宋_GBK" w:eastAsia="方正仿宋_GBK" w:cs="方正仿宋_GBK"/>
                <w:b/>
                <w:bCs/>
                <w:i w:val="0"/>
                <w:color w:val="auto"/>
                <w:kern w:val="0"/>
                <w:sz w:val="30"/>
                <w:szCs w:val="30"/>
                <w:u w:val="none"/>
                <w:lang w:val="en-US" w:eastAsia="zh-CN" w:bidi="ar"/>
              </w:rPr>
              <w:t>年支付限额（元）</w:t>
            </w:r>
          </w:p>
        </w:tc>
      </w:tr>
      <w:tr w14:paraId="6164F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4579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lang w:val="en-US" w:eastAsia="zh-CN"/>
              </w:rPr>
            </w:pPr>
            <w:r>
              <w:rPr>
                <w:rFonts w:hint="eastAsia" w:ascii="方正仿宋_GBK" w:hAnsi="方正仿宋_GBK" w:eastAsia="方正仿宋_GBK" w:cs="方正仿宋_GBK"/>
                <w:i w:val="0"/>
                <w:color w:val="auto"/>
                <w:sz w:val="30"/>
                <w:szCs w:val="30"/>
                <w:u w:val="none"/>
                <w:lang w:val="en-US" w:eastAsia="zh-CN"/>
              </w:rPr>
              <w:t>1</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B0B0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sz w:val="30"/>
                <w:szCs w:val="30"/>
                <w:u w:val="none"/>
              </w:rPr>
              <w:t>肺动脉高压</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7DF9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lang w:val="en-US"/>
              </w:rPr>
            </w:pPr>
            <w:r>
              <w:rPr>
                <w:rFonts w:hint="eastAsia" w:ascii="方正仿宋_GBK" w:hAnsi="方正仿宋_GBK" w:eastAsia="方正仿宋_GBK" w:cs="方正仿宋_GBK"/>
                <w:i w:val="0"/>
                <w:color w:val="auto"/>
                <w:kern w:val="0"/>
                <w:sz w:val="30"/>
                <w:szCs w:val="30"/>
                <w:u w:val="none"/>
                <w:lang w:val="en-US" w:eastAsia="zh-CN" w:bidi="ar"/>
              </w:rPr>
              <w:t>50000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9E0F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lang w:val="en-US"/>
              </w:rPr>
            </w:pPr>
            <w:r>
              <w:rPr>
                <w:rFonts w:hint="eastAsia" w:ascii="方正仿宋_GBK" w:hAnsi="方正仿宋_GBK" w:eastAsia="方正仿宋_GBK" w:cs="方正仿宋_GBK"/>
                <w:i w:val="0"/>
                <w:color w:val="auto"/>
                <w:kern w:val="0"/>
                <w:sz w:val="30"/>
                <w:szCs w:val="30"/>
                <w:u w:val="none"/>
                <w:lang w:val="en-US" w:eastAsia="zh-CN" w:bidi="ar"/>
              </w:rPr>
              <w:t>40000</w:t>
            </w:r>
          </w:p>
        </w:tc>
      </w:tr>
      <w:tr w14:paraId="49BD1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5F12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lang w:val="en-US" w:eastAsia="zh-CN"/>
              </w:rPr>
            </w:pPr>
            <w:r>
              <w:rPr>
                <w:rFonts w:hint="eastAsia" w:ascii="方正仿宋_GBK" w:hAnsi="方正仿宋_GBK" w:eastAsia="方正仿宋_GBK" w:cs="方正仿宋_GBK"/>
                <w:i w:val="0"/>
                <w:color w:val="auto"/>
                <w:sz w:val="30"/>
                <w:szCs w:val="30"/>
                <w:u w:val="none"/>
                <w:lang w:val="en-US" w:eastAsia="zh-CN"/>
              </w:rPr>
              <w:t>2</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1EFE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sz w:val="30"/>
                <w:szCs w:val="30"/>
                <w:u w:val="none"/>
              </w:rPr>
              <w:t>特发性肺纤维化</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45CD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lang w:val="en-US"/>
              </w:rPr>
            </w:pPr>
            <w:r>
              <w:rPr>
                <w:rFonts w:hint="eastAsia" w:ascii="方正仿宋_GBK" w:hAnsi="方正仿宋_GBK" w:eastAsia="方正仿宋_GBK" w:cs="方正仿宋_GBK"/>
                <w:i w:val="0"/>
                <w:color w:val="auto"/>
                <w:kern w:val="0"/>
                <w:sz w:val="30"/>
                <w:szCs w:val="30"/>
                <w:u w:val="none"/>
                <w:lang w:val="en-US" w:eastAsia="zh-CN" w:bidi="ar"/>
              </w:rPr>
              <w:t>18000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44EC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lang w:val="en-US"/>
              </w:rPr>
            </w:pPr>
            <w:r>
              <w:rPr>
                <w:rFonts w:hint="eastAsia" w:ascii="方正仿宋_GBK" w:hAnsi="方正仿宋_GBK" w:eastAsia="方正仿宋_GBK" w:cs="方正仿宋_GBK"/>
                <w:i w:val="0"/>
                <w:color w:val="auto"/>
                <w:kern w:val="0"/>
                <w:sz w:val="30"/>
                <w:szCs w:val="30"/>
                <w:u w:val="none"/>
                <w:lang w:val="en-US" w:eastAsia="zh-CN" w:bidi="ar"/>
              </w:rPr>
              <w:t>15000</w:t>
            </w:r>
          </w:p>
        </w:tc>
      </w:tr>
      <w:tr w14:paraId="4B925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AF26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lang w:val="en-US" w:eastAsia="zh-CN"/>
              </w:rPr>
            </w:pPr>
            <w:r>
              <w:rPr>
                <w:rFonts w:hint="eastAsia" w:ascii="方正仿宋_GBK" w:hAnsi="方正仿宋_GBK" w:eastAsia="方正仿宋_GBK" w:cs="方正仿宋_GBK"/>
                <w:i w:val="0"/>
                <w:color w:val="auto"/>
                <w:sz w:val="30"/>
                <w:szCs w:val="30"/>
                <w:u w:val="none"/>
                <w:lang w:val="en-US" w:eastAsia="zh-CN"/>
              </w:rPr>
              <w:t>3</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08A6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sz w:val="30"/>
                <w:szCs w:val="30"/>
                <w:u w:val="none"/>
              </w:rPr>
              <w:t>克罗恩病</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8C5A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lang w:val="en-US"/>
              </w:rPr>
            </w:pPr>
            <w:r>
              <w:rPr>
                <w:rFonts w:hint="eastAsia" w:ascii="方正仿宋_GBK" w:hAnsi="方正仿宋_GBK" w:eastAsia="方正仿宋_GBK" w:cs="方正仿宋_GBK"/>
                <w:i w:val="0"/>
                <w:color w:val="auto"/>
                <w:kern w:val="0"/>
                <w:sz w:val="30"/>
                <w:szCs w:val="30"/>
                <w:u w:val="none"/>
                <w:lang w:val="en-US" w:eastAsia="zh-CN" w:bidi="ar"/>
              </w:rPr>
              <w:t>18000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1A66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lang w:val="en-US"/>
              </w:rPr>
            </w:pPr>
            <w:r>
              <w:rPr>
                <w:rFonts w:hint="eastAsia" w:ascii="方正仿宋_GBK" w:hAnsi="方正仿宋_GBK" w:eastAsia="方正仿宋_GBK" w:cs="方正仿宋_GBK"/>
                <w:i w:val="0"/>
                <w:color w:val="auto"/>
                <w:kern w:val="0"/>
                <w:sz w:val="30"/>
                <w:szCs w:val="30"/>
                <w:u w:val="none"/>
                <w:lang w:val="en-US" w:eastAsia="zh-CN" w:bidi="ar"/>
              </w:rPr>
              <w:t>15000</w:t>
            </w:r>
          </w:p>
        </w:tc>
      </w:tr>
      <w:tr w14:paraId="41BDF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97" w:type="pct"/>
            <w:vMerge w:val="restart"/>
            <w:tcBorders>
              <w:top w:val="single" w:color="000000" w:sz="4" w:space="0"/>
              <w:left w:val="single" w:color="000000" w:sz="4" w:space="0"/>
              <w:right w:val="single" w:color="000000" w:sz="4" w:space="0"/>
            </w:tcBorders>
            <w:shd w:val="clear" w:color="auto" w:fill="auto"/>
            <w:vAlign w:val="center"/>
          </w:tcPr>
          <w:p w14:paraId="124F9C9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lang w:val="en-US" w:eastAsia="zh-CN"/>
              </w:rPr>
            </w:pPr>
            <w:r>
              <w:rPr>
                <w:rFonts w:hint="eastAsia" w:ascii="方正仿宋_GBK" w:hAnsi="方正仿宋_GBK" w:eastAsia="方正仿宋_GBK" w:cs="方正仿宋_GBK"/>
                <w:i w:val="0"/>
                <w:color w:val="auto"/>
                <w:sz w:val="30"/>
                <w:szCs w:val="30"/>
                <w:u w:val="none"/>
                <w:lang w:val="en-US" w:eastAsia="zh-CN"/>
              </w:rPr>
              <w:t>4</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D7DC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sz w:val="30"/>
                <w:szCs w:val="30"/>
                <w:u w:val="none"/>
              </w:rPr>
              <w:t>慢性肾衰竭（尿毒症期）</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3F48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lang w:val="en-US"/>
              </w:rPr>
            </w:pPr>
            <w:r>
              <w:rPr>
                <w:rFonts w:hint="eastAsia" w:ascii="方正仿宋_GBK" w:hAnsi="方正仿宋_GBK" w:eastAsia="方正仿宋_GBK" w:cs="方正仿宋_GBK"/>
                <w:i w:val="0"/>
                <w:color w:val="auto"/>
                <w:kern w:val="0"/>
                <w:sz w:val="30"/>
                <w:szCs w:val="30"/>
                <w:u w:val="none"/>
                <w:lang w:val="en-US" w:eastAsia="zh-CN" w:bidi="ar"/>
              </w:rPr>
              <w:t>70000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F3A5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lang w:val="en-US"/>
              </w:rPr>
            </w:pPr>
            <w:r>
              <w:rPr>
                <w:rFonts w:hint="eastAsia" w:ascii="方正仿宋_GBK" w:hAnsi="方正仿宋_GBK" w:eastAsia="方正仿宋_GBK" w:cs="方正仿宋_GBK"/>
                <w:i w:val="0"/>
                <w:color w:val="auto"/>
                <w:kern w:val="0"/>
                <w:sz w:val="30"/>
                <w:szCs w:val="30"/>
                <w:u w:val="none"/>
                <w:lang w:val="en-US" w:eastAsia="zh-CN" w:bidi="ar"/>
              </w:rPr>
              <w:t>60000</w:t>
            </w:r>
          </w:p>
        </w:tc>
      </w:tr>
      <w:tr w14:paraId="68677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97" w:type="pct"/>
            <w:vMerge w:val="continue"/>
            <w:tcBorders>
              <w:left w:val="single" w:color="000000" w:sz="4" w:space="0"/>
              <w:right w:val="single" w:color="000000" w:sz="4" w:space="0"/>
            </w:tcBorders>
            <w:shd w:val="clear" w:color="auto" w:fill="auto"/>
            <w:vAlign w:val="center"/>
          </w:tcPr>
          <w:p w14:paraId="67551D4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lang w:val="en-US" w:eastAsia="zh-CN"/>
              </w:rPr>
            </w:pP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4F94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lang w:eastAsia="zh-CN"/>
              </w:rPr>
            </w:pPr>
            <w:r>
              <w:rPr>
                <w:rFonts w:hint="eastAsia" w:ascii="方正仿宋_GBK" w:hAnsi="方正仿宋_GBK" w:eastAsia="方正仿宋_GBK" w:cs="方正仿宋_GBK"/>
                <w:i w:val="0"/>
                <w:color w:val="auto"/>
                <w:sz w:val="30"/>
                <w:szCs w:val="30"/>
                <w:u w:val="none"/>
                <w:lang w:eastAsia="zh-CN"/>
              </w:rPr>
              <w:t>（签约）慢性肾衰竭（尿毒症期连续透析治疗）</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DA6B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70000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DFD1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60000</w:t>
            </w:r>
          </w:p>
        </w:tc>
      </w:tr>
      <w:tr w14:paraId="3EF3F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97" w:type="pct"/>
            <w:vMerge w:val="continue"/>
            <w:tcBorders>
              <w:left w:val="single" w:color="000000" w:sz="4" w:space="0"/>
              <w:bottom w:val="single" w:color="000000" w:sz="4" w:space="0"/>
              <w:right w:val="single" w:color="000000" w:sz="4" w:space="0"/>
            </w:tcBorders>
            <w:shd w:val="clear" w:color="auto" w:fill="auto"/>
            <w:vAlign w:val="center"/>
          </w:tcPr>
          <w:p w14:paraId="0300A4D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lang w:val="en-US" w:eastAsia="zh-CN"/>
              </w:rPr>
            </w:pP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4416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sz w:val="30"/>
                <w:szCs w:val="30"/>
                <w:u w:val="none"/>
                <w:lang w:eastAsia="zh-CN"/>
              </w:rPr>
              <w:t>（签约）慢性肾衰竭（尿毒症期非连续透析治疗）</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0999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70000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8A8C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60000</w:t>
            </w:r>
          </w:p>
        </w:tc>
      </w:tr>
      <w:tr w14:paraId="3A1F5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FAC3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sz w:val="30"/>
                <w:szCs w:val="30"/>
                <w:u w:val="none"/>
                <w:lang w:val="en-US" w:eastAsia="zh-CN"/>
              </w:rPr>
            </w:pPr>
            <w:r>
              <w:rPr>
                <w:rFonts w:hint="eastAsia" w:ascii="方正仿宋_GBK" w:hAnsi="方正仿宋_GBK" w:eastAsia="方正仿宋_GBK" w:cs="方正仿宋_GBK"/>
                <w:i w:val="0"/>
                <w:color w:val="auto"/>
                <w:sz w:val="30"/>
                <w:szCs w:val="30"/>
                <w:u w:val="none"/>
                <w:lang w:val="en-US" w:eastAsia="zh-CN"/>
              </w:rPr>
              <w:t>5</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B70E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sz w:val="30"/>
                <w:szCs w:val="30"/>
                <w:u w:val="none"/>
              </w:rPr>
              <w:t>肢端肥大症</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DE3C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lang w:val="en-US"/>
              </w:rPr>
            </w:pPr>
            <w:r>
              <w:rPr>
                <w:rFonts w:hint="eastAsia" w:ascii="方正仿宋_GBK" w:hAnsi="方正仿宋_GBK" w:eastAsia="方正仿宋_GBK" w:cs="方正仿宋_GBK"/>
                <w:i w:val="0"/>
                <w:color w:val="auto"/>
                <w:kern w:val="0"/>
                <w:sz w:val="30"/>
                <w:szCs w:val="30"/>
                <w:u w:val="none"/>
                <w:lang w:val="en-US" w:eastAsia="zh-CN" w:bidi="ar"/>
              </w:rPr>
              <w:t>36000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0B83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lang w:val="en-US"/>
              </w:rPr>
            </w:pPr>
            <w:r>
              <w:rPr>
                <w:rFonts w:hint="eastAsia" w:ascii="方正仿宋_GBK" w:hAnsi="方正仿宋_GBK" w:eastAsia="方正仿宋_GBK" w:cs="方正仿宋_GBK"/>
                <w:i w:val="0"/>
                <w:color w:val="auto"/>
                <w:kern w:val="0"/>
                <w:sz w:val="30"/>
                <w:szCs w:val="30"/>
                <w:u w:val="none"/>
                <w:lang w:val="en-US" w:eastAsia="zh-CN" w:bidi="ar"/>
              </w:rPr>
              <w:t>30000</w:t>
            </w:r>
          </w:p>
        </w:tc>
      </w:tr>
      <w:tr w14:paraId="00EF7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3B59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sz w:val="30"/>
                <w:szCs w:val="30"/>
                <w:u w:val="none"/>
                <w:lang w:val="en-US" w:eastAsia="zh-CN"/>
              </w:rPr>
            </w:pPr>
            <w:r>
              <w:rPr>
                <w:rFonts w:hint="eastAsia" w:ascii="方正仿宋_GBK" w:hAnsi="方正仿宋_GBK" w:eastAsia="方正仿宋_GBK" w:cs="方正仿宋_GBK"/>
                <w:i w:val="0"/>
                <w:color w:val="auto"/>
                <w:sz w:val="30"/>
                <w:szCs w:val="30"/>
                <w:u w:val="none"/>
                <w:lang w:val="en-US" w:eastAsia="zh-CN"/>
              </w:rPr>
              <w:t>6</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74C8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sz w:val="30"/>
                <w:szCs w:val="30"/>
                <w:u w:val="none"/>
              </w:rPr>
              <w:t>肝豆状核变性</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262F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lang w:val="en-US"/>
              </w:rPr>
            </w:pPr>
            <w:r>
              <w:rPr>
                <w:rFonts w:hint="eastAsia" w:ascii="方正仿宋_GBK" w:hAnsi="方正仿宋_GBK" w:eastAsia="方正仿宋_GBK" w:cs="方正仿宋_GBK"/>
                <w:i w:val="0"/>
                <w:color w:val="auto"/>
                <w:kern w:val="0"/>
                <w:sz w:val="30"/>
                <w:szCs w:val="30"/>
                <w:u w:val="none"/>
                <w:lang w:val="en-US" w:eastAsia="zh-CN" w:bidi="ar"/>
              </w:rPr>
              <w:t>24000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775F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lang w:val="en-US"/>
              </w:rPr>
            </w:pPr>
            <w:r>
              <w:rPr>
                <w:rFonts w:hint="eastAsia" w:ascii="方正仿宋_GBK" w:hAnsi="方正仿宋_GBK" w:eastAsia="方正仿宋_GBK" w:cs="方正仿宋_GBK"/>
                <w:i w:val="0"/>
                <w:color w:val="auto"/>
                <w:kern w:val="0"/>
                <w:sz w:val="30"/>
                <w:szCs w:val="30"/>
                <w:u w:val="none"/>
                <w:lang w:val="en-US" w:eastAsia="zh-CN" w:bidi="ar"/>
              </w:rPr>
              <w:t>20000</w:t>
            </w:r>
          </w:p>
        </w:tc>
      </w:tr>
      <w:tr w14:paraId="53F0E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E3F2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sz w:val="30"/>
                <w:szCs w:val="30"/>
                <w:u w:val="none"/>
                <w:lang w:val="en-US" w:eastAsia="zh-CN"/>
              </w:rPr>
            </w:pPr>
            <w:r>
              <w:rPr>
                <w:rFonts w:hint="eastAsia" w:ascii="方正仿宋_GBK" w:hAnsi="方正仿宋_GBK" w:eastAsia="方正仿宋_GBK" w:cs="方正仿宋_GBK"/>
                <w:i w:val="0"/>
                <w:color w:val="auto"/>
                <w:sz w:val="30"/>
                <w:szCs w:val="30"/>
                <w:u w:val="none"/>
                <w:lang w:val="en-US" w:eastAsia="zh-CN"/>
              </w:rPr>
              <w:t>7</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2761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sz w:val="30"/>
                <w:szCs w:val="30"/>
                <w:u w:val="none"/>
              </w:rPr>
              <w:t>多发性硬化</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CE8D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lang w:val="en-US"/>
              </w:rPr>
            </w:pPr>
            <w:r>
              <w:rPr>
                <w:rFonts w:hint="eastAsia" w:ascii="方正仿宋_GBK" w:hAnsi="方正仿宋_GBK" w:eastAsia="方正仿宋_GBK" w:cs="方正仿宋_GBK"/>
                <w:i w:val="0"/>
                <w:color w:val="auto"/>
                <w:kern w:val="0"/>
                <w:sz w:val="30"/>
                <w:szCs w:val="30"/>
                <w:u w:val="none"/>
                <w:lang w:val="en-US" w:eastAsia="zh-CN" w:bidi="ar"/>
              </w:rPr>
              <w:t>18000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EF54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lang w:val="en-US"/>
              </w:rPr>
            </w:pPr>
            <w:r>
              <w:rPr>
                <w:rFonts w:hint="eastAsia" w:ascii="方正仿宋_GBK" w:hAnsi="方正仿宋_GBK" w:eastAsia="方正仿宋_GBK" w:cs="方正仿宋_GBK"/>
                <w:i w:val="0"/>
                <w:color w:val="auto"/>
                <w:kern w:val="0"/>
                <w:sz w:val="30"/>
                <w:szCs w:val="30"/>
                <w:u w:val="none"/>
                <w:lang w:val="en-US" w:eastAsia="zh-CN" w:bidi="ar"/>
              </w:rPr>
              <w:t>15000</w:t>
            </w:r>
          </w:p>
        </w:tc>
      </w:tr>
      <w:tr w14:paraId="64C92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821F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sz w:val="30"/>
                <w:szCs w:val="30"/>
                <w:u w:val="none"/>
                <w:lang w:val="en-US" w:eastAsia="zh-CN"/>
              </w:rPr>
            </w:pPr>
            <w:r>
              <w:rPr>
                <w:rFonts w:hint="eastAsia" w:ascii="方正仿宋_GBK" w:hAnsi="方正仿宋_GBK" w:eastAsia="方正仿宋_GBK" w:cs="方正仿宋_GBK"/>
                <w:i w:val="0"/>
                <w:color w:val="auto"/>
                <w:sz w:val="30"/>
                <w:szCs w:val="30"/>
                <w:u w:val="none"/>
                <w:lang w:val="en-US" w:eastAsia="zh-CN"/>
              </w:rPr>
              <w:t>8</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6D5F3">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sz w:val="30"/>
                <w:szCs w:val="30"/>
                <w:u w:val="none"/>
              </w:rPr>
              <w:t>重度特应性皮炎</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A705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lang w:val="en-US"/>
              </w:rPr>
            </w:pPr>
            <w:r>
              <w:rPr>
                <w:rFonts w:hint="eastAsia" w:ascii="方正仿宋_GBK" w:hAnsi="方正仿宋_GBK" w:eastAsia="方正仿宋_GBK" w:cs="方正仿宋_GBK"/>
                <w:i w:val="0"/>
                <w:color w:val="auto"/>
                <w:kern w:val="0"/>
                <w:sz w:val="30"/>
                <w:szCs w:val="30"/>
                <w:u w:val="none"/>
                <w:lang w:val="en-US" w:eastAsia="zh-CN" w:bidi="ar"/>
              </w:rPr>
              <w:t>20000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3F67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lang w:val="en-US"/>
              </w:rPr>
            </w:pPr>
            <w:r>
              <w:rPr>
                <w:rFonts w:hint="eastAsia" w:ascii="方正仿宋_GBK" w:hAnsi="方正仿宋_GBK" w:eastAsia="方正仿宋_GBK" w:cs="方正仿宋_GBK"/>
                <w:i w:val="0"/>
                <w:color w:val="auto"/>
                <w:kern w:val="0"/>
                <w:sz w:val="30"/>
                <w:szCs w:val="30"/>
                <w:u w:val="none"/>
                <w:lang w:val="en-US" w:eastAsia="zh-CN" w:bidi="ar"/>
              </w:rPr>
              <w:t>18000</w:t>
            </w:r>
          </w:p>
        </w:tc>
      </w:tr>
      <w:tr w14:paraId="46F94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C23F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sz w:val="30"/>
                <w:szCs w:val="30"/>
                <w:u w:val="none"/>
                <w:lang w:val="en-US" w:eastAsia="zh-CN"/>
              </w:rPr>
            </w:pPr>
            <w:r>
              <w:rPr>
                <w:rFonts w:hint="eastAsia" w:ascii="方正仿宋_GBK" w:hAnsi="方正仿宋_GBK" w:eastAsia="方正仿宋_GBK" w:cs="方正仿宋_GBK"/>
                <w:i w:val="0"/>
                <w:color w:val="auto"/>
                <w:sz w:val="30"/>
                <w:szCs w:val="30"/>
                <w:u w:val="none"/>
                <w:lang w:val="en-US" w:eastAsia="zh-CN"/>
              </w:rPr>
              <w:t>9</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6EA39">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lang w:eastAsia="zh-CN"/>
              </w:rPr>
            </w:pPr>
            <w:r>
              <w:rPr>
                <w:rFonts w:hint="eastAsia" w:ascii="方正仿宋_GBK" w:hAnsi="方正仿宋_GBK" w:eastAsia="方正仿宋_GBK" w:cs="方正仿宋_GBK"/>
                <w:i w:val="0"/>
                <w:color w:val="auto"/>
                <w:sz w:val="30"/>
                <w:szCs w:val="30"/>
                <w:u w:val="none"/>
                <w:lang w:eastAsia="zh-CN"/>
              </w:rPr>
              <w:t>耐药性结核病</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FC52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60000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CCE9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50000</w:t>
            </w:r>
          </w:p>
        </w:tc>
      </w:tr>
      <w:tr w14:paraId="171F0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8759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sz w:val="30"/>
                <w:szCs w:val="30"/>
                <w:u w:val="none"/>
                <w:lang w:val="en-US" w:eastAsia="zh-CN"/>
              </w:rPr>
            </w:pPr>
            <w:r>
              <w:rPr>
                <w:rFonts w:hint="eastAsia" w:ascii="方正仿宋_GBK" w:hAnsi="方正仿宋_GBK" w:eastAsia="方正仿宋_GBK" w:cs="方正仿宋_GBK"/>
                <w:i w:val="0"/>
                <w:color w:val="auto"/>
                <w:sz w:val="30"/>
                <w:szCs w:val="30"/>
                <w:u w:val="none"/>
                <w:lang w:val="en-US" w:eastAsia="zh-CN"/>
              </w:rPr>
              <w:t>10</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A584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sz w:val="30"/>
                <w:szCs w:val="30"/>
                <w:u w:val="none"/>
              </w:rPr>
              <w:t>系统性红斑狼疮</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6C4C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lang w:val="en-US"/>
              </w:rPr>
            </w:pPr>
            <w:r>
              <w:rPr>
                <w:rFonts w:hint="eastAsia" w:ascii="方正仿宋_GBK" w:hAnsi="方正仿宋_GBK" w:eastAsia="方正仿宋_GBK" w:cs="方正仿宋_GBK"/>
                <w:i w:val="0"/>
                <w:color w:val="auto"/>
                <w:kern w:val="0"/>
                <w:sz w:val="30"/>
                <w:szCs w:val="30"/>
                <w:u w:val="none"/>
                <w:lang w:val="en-US" w:eastAsia="zh-CN" w:bidi="ar"/>
              </w:rPr>
              <w:t>18000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85A8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lang w:val="en-US"/>
              </w:rPr>
            </w:pPr>
            <w:r>
              <w:rPr>
                <w:rFonts w:hint="eastAsia" w:ascii="方正仿宋_GBK" w:hAnsi="方正仿宋_GBK" w:eastAsia="方正仿宋_GBK" w:cs="方正仿宋_GBK"/>
                <w:i w:val="0"/>
                <w:color w:val="auto"/>
                <w:kern w:val="0"/>
                <w:sz w:val="30"/>
                <w:szCs w:val="30"/>
                <w:u w:val="none"/>
                <w:lang w:val="en-US" w:eastAsia="zh-CN" w:bidi="ar"/>
              </w:rPr>
              <w:t>15000</w:t>
            </w:r>
          </w:p>
        </w:tc>
      </w:tr>
      <w:tr w14:paraId="4AB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FC02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sz w:val="30"/>
                <w:szCs w:val="30"/>
                <w:u w:val="none"/>
                <w:lang w:val="en-US" w:eastAsia="zh-CN"/>
              </w:rPr>
            </w:pPr>
            <w:r>
              <w:rPr>
                <w:rFonts w:hint="eastAsia" w:ascii="方正仿宋_GBK" w:hAnsi="方正仿宋_GBK" w:eastAsia="方正仿宋_GBK" w:cs="方正仿宋_GBK"/>
                <w:i w:val="0"/>
                <w:color w:val="auto"/>
                <w:sz w:val="30"/>
                <w:szCs w:val="30"/>
                <w:u w:val="none"/>
                <w:lang w:val="en-US" w:eastAsia="zh-CN"/>
              </w:rPr>
              <w:t>11</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212E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sz w:val="30"/>
                <w:szCs w:val="30"/>
                <w:u w:val="none"/>
              </w:rPr>
              <w:t>先天性免疫蛋白缺乏症</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B18C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lang w:val="en-US"/>
              </w:rPr>
            </w:pPr>
            <w:r>
              <w:rPr>
                <w:rFonts w:hint="eastAsia" w:ascii="方正仿宋_GBK" w:hAnsi="方正仿宋_GBK" w:eastAsia="方正仿宋_GBK" w:cs="方正仿宋_GBK"/>
                <w:i w:val="0"/>
                <w:color w:val="auto"/>
                <w:kern w:val="0"/>
                <w:sz w:val="30"/>
                <w:szCs w:val="30"/>
                <w:u w:val="none"/>
                <w:lang w:val="en-US" w:eastAsia="zh-CN" w:bidi="ar"/>
              </w:rPr>
              <w:t>24000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FCA0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lang w:val="en-US"/>
              </w:rPr>
            </w:pPr>
            <w:r>
              <w:rPr>
                <w:rFonts w:hint="eastAsia" w:ascii="方正仿宋_GBK" w:hAnsi="方正仿宋_GBK" w:eastAsia="方正仿宋_GBK" w:cs="方正仿宋_GBK"/>
                <w:i w:val="0"/>
                <w:color w:val="auto"/>
                <w:kern w:val="0"/>
                <w:sz w:val="30"/>
                <w:szCs w:val="30"/>
                <w:u w:val="none"/>
                <w:lang w:val="en-US" w:eastAsia="zh-CN" w:bidi="ar"/>
              </w:rPr>
              <w:t>20000</w:t>
            </w:r>
          </w:p>
        </w:tc>
      </w:tr>
      <w:tr w14:paraId="046A3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60C7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sz w:val="30"/>
                <w:szCs w:val="30"/>
                <w:u w:val="none"/>
                <w:lang w:val="en-US" w:eastAsia="zh-CN"/>
              </w:rPr>
            </w:pPr>
            <w:r>
              <w:rPr>
                <w:rFonts w:hint="eastAsia" w:ascii="方正仿宋_GBK" w:hAnsi="方正仿宋_GBK" w:eastAsia="方正仿宋_GBK" w:cs="方正仿宋_GBK"/>
                <w:i w:val="0"/>
                <w:color w:val="auto"/>
                <w:sz w:val="30"/>
                <w:szCs w:val="30"/>
                <w:u w:val="none"/>
                <w:lang w:val="en-US" w:eastAsia="zh-CN"/>
              </w:rPr>
              <w:t>12</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47B5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sz w:val="30"/>
                <w:szCs w:val="30"/>
                <w:u w:val="none"/>
              </w:rPr>
              <w:t>生长激素缺乏症</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7A98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6BD3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lang w:val="en-US"/>
              </w:rPr>
            </w:pPr>
            <w:r>
              <w:rPr>
                <w:rFonts w:hint="eastAsia" w:ascii="方正仿宋_GBK" w:hAnsi="方正仿宋_GBK" w:eastAsia="方正仿宋_GBK" w:cs="方正仿宋_GBK"/>
                <w:i w:val="0"/>
                <w:color w:val="auto"/>
                <w:kern w:val="0"/>
                <w:sz w:val="30"/>
                <w:szCs w:val="30"/>
                <w:u w:val="none"/>
                <w:lang w:val="en-US" w:eastAsia="zh-CN" w:bidi="ar"/>
              </w:rPr>
              <w:t>20000</w:t>
            </w:r>
          </w:p>
        </w:tc>
      </w:tr>
      <w:tr w14:paraId="19C8A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02A9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sz w:val="30"/>
                <w:szCs w:val="30"/>
                <w:u w:val="none"/>
                <w:lang w:val="en-US" w:eastAsia="zh-CN"/>
              </w:rPr>
            </w:pPr>
            <w:r>
              <w:rPr>
                <w:rFonts w:hint="eastAsia" w:ascii="方正仿宋_GBK" w:hAnsi="方正仿宋_GBK" w:eastAsia="方正仿宋_GBK" w:cs="方正仿宋_GBK"/>
                <w:i w:val="0"/>
                <w:color w:val="auto"/>
                <w:sz w:val="30"/>
                <w:szCs w:val="30"/>
                <w:u w:val="none"/>
                <w:lang w:val="en-US" w:eastAsia="zh-CN"/>
              </w:rPr>
              <w:t>13</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F0CF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sz w:val="30"/>
                <w:szCs w:val="30"/>
                <w:u w:val="none"/>
              </w:rPr>
              <w:t>普拉德-威利综合征</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7FF1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lang w:val="en-US"/>
              </w:rPr>
            </w:pP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67C6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lang w:val="en-US"/>
              </w:rPr>
            </w:pPr>
            <w:r>
              <w:rPr>
                <w:rFonts w:hint="eastAsia" w:ascii="方正仿宋_GBK" w:hAnsi="方正仿宋_GBK" w:eastAsia="方正仿宋_GBK" w:cs="方正仿宋_GBK"/>
                <w:i w:val="0"/>
                <w:color w:val="auto"/>
                <w:kern w:val="0"/>
                <w:sz w:val="30"/>
                <w:szCs w:val="30"/>
                <w:u w:val="none"/>
                <w:lang w:val="en-US" w:eastAsia="zh-CN" w:bidi="ar"/>
              </w:rPr>
              <w:t>20000</w:t>
            </w:r>
          </w:p>
        </w:tc>
      </w:tr>
      <w:tr w14:paraId="27404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542D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sz w:val="30"/>
                <w:szCs w:val="30"/>
                <w:u w:val="none"/>
                <w:lang w:val="en-US" w:eastAsia="zh-CN"/>
              </w:rPr>
            </w:pPr>
            <w:r>
              <w:rPr>
                <w:rFonts w:hint="eastAsia" w:ascii="方正仿宋_GBK" w:hAnsi="方正仿宋_GBK" w:eastAsia="方正仿宋_GBK" w:cs="方正仿宋_GBK"/>
                <w:i w:val="0"/>
                <w:color w:val="auto"/>
                <w:sz w:val="30"/>
                <w:szCs w:val="30"/>
                <w:u w:val="none"/>
                <w:lang w:val="en-US" w:eastAsia="zh-CN"/>
              </w:rPr>
              <w:t>14</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119B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sz w:val="30"/>
                <w:szCs w:val="30"/>
                <w:u w:val="none"/>
              </w:rPr>
              <w:t>尼曼匹克病</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9402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lang w:val="en-US"/>
              </w:rPr>
            </w:pPr>
            <w:r>
              <w:rPr>
                <w:rFonts w:hint="eastAsia" w:ascii="方正仿宋_GBK" w:hAnsi="方正仿宋_GBK" w:eastAsia="方正仿宋_GBK" w:cs="方正仿宋_GBK"/>
                <w:i w:val="0"/>
                <w:color w:val="auto"/>
                <w:kern w:val="0"/>
                <w:sz w:val="30"/>
                <w:szCs w:val="30"/>
                <w:u w:val="none"/>
                <w:lang w:val="en-US" w:eastAsia="zh-CN" w:bidi="ar"/>
              </w:rPr>
              <w:t>24000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E15D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lang w:val="en-US"/>
              </w:rPr>
            </w:pPr>
            <w:r>
              <w:rPr>
                <w:rFonts w:hint="eastAsia" w:ascii="方正仿宋_GBK" w:hAnsi="方正仿宋_GBK" w:eastAsia="方正仿宋_GBK" w:cs="方正仿宋_GBK"/>
                <w:i w:val="0"/>
                <w:color w:val="auto"/>
                <w:kern w:val="0"/>
                <w:sz w:val="30"/>
                <w:szCs w:val="30"/>
                <w:u w:val="none"/>
                <w:lang w:val="en-US" w:eastAsia="zh-CN" w:bidi="ar"/>
              </w:rPr>
              <w:t>20000</w:t>
            </w:r>
          </w:p>
        </w:tc>
      </w:tr>
      <w:tr w14:paraId="3420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97" w:type="pct"/>
            <w:vMerge w:val="restart"/>
            <w:tcBorders>
              <w:top w:val="single" w:color="000000" w:sz="4" w:space="0"/>
              <w:left w:val="single" w:color="000000" w:sz="4" w:space="0"/>
              <w:right w:val="single" w:color="000000" w:sz="4" w:space="0"/>
            </w:tcBorders>
            <w:shd w:val="clear" w:color="auto" w:fill="auto"/>
            <w:vAlign w:val="center"/>
          </w:tcPr>
          <w:p w14:paraId="28CAB34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sz w:val="30"/>
                <w:szCs w:val="30"/>
                <w:u w:val="none"/>
                <w:lang w:val="en-US" w:eastAsia="zh-CN"/>
              </w:rPr>
            </w:pPr>
            <w:r>
              <w:rPr>
                <w:rFonts w:hint="eastAsia" w:ascii="方正仿宋_GBK" w:hAnsi="方正仿宋_GBK" w:eastAsia="方正仿宋_GBK" w:cs="方正仿宋_GBK"/>
                <w:i w:val="0"/>
                <w:color w:val="auto"/>
                <w:sz w:val="30"/>
                <w:szCs w:val="30"/>
                <w:u w:val="none"/>
                <w:lang w:val="en-US" w:eastAsia="zh-CN"/>
              </w:rPr>
              <w:t>15</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7C9B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sz w:val="30"/>
                <w:szCs w:val="30"/>
                <w:u w:val="none"/>
                <w:lang w:eastAsia="zh-CN"/>
              </w:rPr>
              <w:t>（签约）</w:t>
            </w:r>
            <w:r>
              <w:rPr>
                <w:rFonts w:hint="eastAsia" w:ascii="方正仿宋_GBK" w:hAnsi="方正仿宋_GBK" w:eastAsia="方正仿宋_GBK" w:cs="方正仿宋_GBK"/>
                <w:i w:val="0"/>
                <w:color w:val="auto"/>
                <w:sz w:val="30"/>
                <w:szCs w:val="30"/>
                <w:u w:val="none"/>
              </w:rPr>
              <w:t>器官移植术后</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E06D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lang w:val="en-US"/>
              </w:rPr>
            </w:pPr>
            <w:r>
              <w:rPr>
                <w:rFonts w:hint="eastAsia" w:ascii="方正仿宋_GBK" w:hAnsi="方正仿宋_GBK" w:eastAsia="方正仿宋_GBK" w:cs="方正仿宋_GBK"/>
                <w:i w:val="0"/>
                <w:color w:val="auto"/>
                <w:kern w:val="0"/>
                <w:sz w:val="30"/>
                <w:szCs w:val="30"/>
                <w:u w:val="none"/>
                <w:lang w:val="en-US" w:eastAsia="zh-CN" w:bidi="ar"/>
              </w:rPr>
              <w:t>60000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5B5D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lang w:val="en-US"/>
              </w:rPr>
            </w:pPr>
            <w:r>
              <w:rPr>
                <w:rFonts w:hint="eastAsia" w:ascii="方正仿宋_GBK" w:hAnsi="方正仿宋_GBK" w:eastAsia="方正仿宋_GBK" w:cs="方正仿宋_GBK"/>
                <w:i w:val="0"/>
                <w:color w:val="auto"/>
                <w:kern w:val="0"/>
                <w:sz w:val="30"/>
                <w:szCs w:val="30"/>
                <w:u w:val="none"/>
                <w:lang w:val="en-US" w:eastAsia="zh-CN" w:bidi="ar"/>
              </w:rPr>
              <w:t>50000</w:t>
            </w:r>
          </w:p>
        </w:tc>
      </w:tr>
      <w:tr w14:paraId="09349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97" w:type="pct"/>
            <w:vMerge w:val="continue"/>
            <w:tcBorders>
              <w:left w:val="single" w:color="000000" w:sz="4" w:space="0"/>
              <w:bottom w:val="single" w:color="000000" w:sz="4" w:space="0"/>
              <w:right w:val="single" w:color="000000" w:sz="4" w:space="0"/>
            </w:tcBorders>
            <w:shd w:val="clear" w:color="auto" w:fill="auto"/>
            <w:vAlign w:val="center"/>
          </w:tcPr>
          <w:p w14:paraId="6ACBB61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sz w:val="30"/>
                <w:szCs w:val="30"/>
                <w:u w:val="none"/>
                <w:lang w:val="en-US" w:eastAsia="zh-CN"/>
              </w:rPr>
            </w:pP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B121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lang w:eastAsia="zh-CN"/>
              </w:rPr>
            </w:pPr>
            <w:r>
              <w:rPr>
                <w:rFonts w:hint="eastAsia" w:ascii="方正仿宋_GBK" w:hAnsi="方正仿宋_GBK" w:eastAsia="方正仿宋_GBK" w:cs="方正仿宋_GBK"/>
                <w:i w:val="0"/>
                <w:color w:val="auto"/>
                <w:sz w:val="30"/>
                <w:szCs w:val="30"/>
                <w:u w:val="none"/>
              </w:rPr>
              <w:t>器官移植术后</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ED04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60000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AD4C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50000</w:t>
            </w:r>
          </w:p>
        </w:tc>
      </w:tr>
      <w:tr w14:paraId="0D310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A66C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sz w:val="30"/>
                <w:szCs w:val="30"/>
                <w:u w:val="none"/>
                <w:lang w:val="en-US" w:eastAsia="zh-CN"/>
              </w:rPr>
            </w:pPr>
            <w:r>
              <w:rPr>
                <w:rFonts w:hint="eastAsia" w:ascii="方正仿宋_GBK" w:hAnsi="方正仿宋_GBK" w:eastAsia="方正仿宋_GBK" w:cs="方正仿宋_GBK"/>
                <w:i w:val="0"/>
                <w:color w:val="auto"/>
                <w:sz w:val="30"/>
                <w:szCs w:val="30"/>
                <w:u w:val="none"/>
                <w:lang w:val="en-US" w:eastAsia="zh-CN"/>
              </w:rPr>
              <w:t>16</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DB9D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sz w:val="30"/>
                <w:szCs w:val="30"/>
                <w:u w:val="none"/>
              </w:rPr>
              <w:t>血友病</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F15A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80000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918F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80000</w:t>
            </w:r>
          </w:p>
        </w:tc>
      </w:tr>
      <w:tr w14:paraId="06036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0181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sz w:val="30"/>
                <w:szCs w:val="30"/>
                <w:u w:val="none"/>
                <w:lang w:val="en-US" w:eastAsia="zh-CN"/>
              </w:rPr>
            </w:pPr>
            <w:r>
              <w:rPr>
                <w:rFonts w:hint="eastAsia" w:ascii="方正仿宋_GBK" w:hAnsi="方正仿宋_GBK" w:eastAsia="方正仿宋_GBK" w:cs="方正仿宋_GBK"/>
                <w:i w:val="0"/>
                <w:color w:val="auto"/>
                <w:sz w:val="30"/>
                <w:szCs w:val="30"/>
                <w:u w:val="none"/>
                <w:lang w:val="en-US" w:eastAsia="zh-CN"/>
              </w:rPr>
              <w:t>17</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4E7C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sz w:val="30"/>
                <w:szCs w:val="30"/>
                <w:u w:val="none"/>
              </w:rPr>
              <w:t>特发性血小板减少性紫癜</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4CB7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24000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9EA3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20000</w:t>
            </w:r>
          </w:p>
        </w:tc>
      </w:tr>
      <w:tr w14:paraId="0F126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6B6D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sz w:val="30"/>
                <w:szCs w:val="30"/>
                <w:u w:val="none"/>
                <w:lang w:val="en-US" w:eastAsia="zh-CN"/>
              </w:rPr>
            </w:pPr>
            <w:r>
              <w:rPr>
                <w:rFonts w:hint="eastAsia" w:ascii="方正仿宋_GBK" w:hAnsi="方正仿宋_GBK" w:eastAsia="方正仿宋_GBK" w:cs="方正仿宋_GBK"/>
                <w:i w:val="0"/>
                <w:color w:val="auto"/>
                <w:sz w:val="30"/>
                <w:szCs w:val="30"/>
                <w:u w:val="none"/>
                <w:lang w:val="en-US" w:eastAsia="zh-CN"/>
              </w:rPr>
              <w:t>18</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B06F5">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sz w:val="30"/>
                <w:szCs w:val="30"/>
                <w:u w:val="none"/>
              </w:rPr>
              <w:t>再生障碍性贫血</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57B9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24000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756C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20000</w:t>
            </w:r>
          </w:p>
        </w:tc>
      </w:tr>
      <w:tr w14:paraId="79C41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C33D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sz w:val="30"/>
                <w:szCs w:val="30"/>
                <w:u w:val="none"/>
                <w:lang w:val="en-US" w:eastAsia="zh-CN"/>
              </w:rPr>
            </w:pPr>
            <w:r>
              <w:rPr>
                <w:rFonts w:hint="eastAsia" w:ascii="方正仿宋_GBK" w:hAnsi="方正仿宋_GBK" w:eastAsia="方正仿宋_GBK" w:cs="方正仿宋_GBK"/>
                <w:i w:val="0"/>
                <w:color w:val="auto"/>
                <w:sz w:val="30"/>
                <w:szCs w:val="30"/>
                <w:u w:val="none"/>
                <w:lang w:val="en-US" w:eastAsia="zh-CN"/>
              </w:rPr>
              <w:t>19</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EDEB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sz w:val="30"/>
                <w:szCs w:val="30"/>
                <w:u w:val="none"/>
              </w:rPr>
              <w:t>骨髓增生异常综合征</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04A5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48000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132C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40000</w:t>
            </w:r>
          </w:p>
        </w:tc>
      </w:tr>
      <w:tr w14:paraId="599C5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4A39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sz w:val="30"/>
                <w:szCs w:val="30"/>
                <w:u w:val="none"/>
                <w:lang w:val="en-US" w:eastAsia="zh-CN"/>
              </w:rPr>
            </w:pPr>
            <w:r>
              <w:rPr>
                <w:rFonts w:hint="eastAsia" w:ascii="方正仿宋_GBK" w:hAnsi="方正仿宋_GBK" w:eastAsia="方正仿宋_GBK" w:cs="方正仿宋_GBK"/>
                <w:i w:val="0"/>
                <w:color w:val="auto"/>
                <w:sz w:val="30"/>
                <w:szCs w:val="30"/>
                <w:u w:val="none"/>
                <w:lang w:val="en-US" w:eastAsia="zh-CN"/>
              </w:rPr>
              <w:t>20</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2668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sz w:val="30"/>
                <w:szCs w:val="30"/>
                <w:u w:val="none"/>
              </w:rPr>
              <w:t>骨髓增生性疾病</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D152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lang w:val="en-US"/>
              </w:rPr>
            </w:pPr>
            <w:r>
              <w:rPr>
                <w:rFonts w:hint="eastAsia" w:ascii="方正仿宋_GBK" w:hAnsi="方正仿宋_GBK" w:eastAsia="方正仿宋_GBK" w:cs="方正仿宋_GBK"/>
                <w:i w:val="0"/>
                <w:color w:val="auto"/>
                <w:kern w:val="0"/>
                <w:sz w:val="30"/>
                <w:szCs w:val="30"/>
                <w:u w:val="none"/>
                <w:lang w:val="en-US" w:eastAsia="zh-CN" w:bidi="ar"/>
              </w:rPr>
              <w:t>48000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CE2F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lang w:val="en-US"/>
              </w:rPr>
            </w:pPr>
            <w:r>
              <w:rPr>
                <w:rFonts w:hint="eastAsia" w:ascii="方正仿宋_GBK" w:hAnsi="方正仿宋_GBK" w:eastAsia="方正仿宋_GBK" w:cs="方正仿宋_GBK"/>
                <w:i w:val="0"/>
                <w:color w:val="auto"/>
                <w:kern w:val="0"/>
                <w:sz w:val="30"/>
                <w:szCs w:val="30"/>
                <w:u w:val="none"/>
                <w:lang w:val="en-US" w:eastAsia="zh-CN" w:bidi="ar"/>
              </w:rPr>
              <w:t>40000</w:t>
            </w:r>
          </w:p>
        </w:tc>
      </w:tr>
      <w:tr w14:paraId="1698E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5D4A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sz w:val="30"/>
                <w:szCs w:val="30"/>
                <w:u w:val="none"/>
                <w:lang w:val="en-US" w:eastAsia="zh-CN"/>
              </w:rPr>
            </w:pPr>
            <w:r>
              <w:rPr>
                <w:rFonts w:hint="eastAsia" w:ascii="方正仿宋_GBK" w:hAnsi="方正仿宋_GBK" w:eastAsia="方正仿宋_GBK" w:cs="方正仿宋_GBK"/>
                <w:i w:val="0"/>
                <w:color w:val="auto"/>
                <w:sz w:val="30"/>
                <w:szCs w:val="30"/>
                <w:u w:val="none"/>
                <w:lang w:val="en-US" w:eastAsia="zh-CN"/>
              </w:rPr>
              <w:t>21</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5008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sz w:val="30"/>
                <w:szCs w:val="30"/>
                <w:u w:val="none"/>
              </w:rPr>
              <w:t>白血病</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C082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48000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0B03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40000</w:t>
            </w:r>
          </w:p>
        </w:tc>
      </w:tr>
      <w:tr w14:paraId="6D6A2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EC83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sz w:val="30"/>
                <w:szCs w:val="30"/>
                <w:u w:val="none"/>
                <w:lang w:val="en-US" w:eastAsia="zh-CN"/>
              </w:rPr>
            </w:pPr>
            <w:r>
              <w:rPr>
                <w:rFonts w:hint="eastAsia" w:ascii="方正仿宋_GBK" w:hAnsi="方正仿宋_GBK" w:eastAsia="方正仿宋_GBK" w:cs="方正仿宋_GBK"/>
                <w:i w:val="0"/>
                <w:color w:val="auto"/>
                <w:sz w:val="30"/>
                <w:szCs w:val="30"/>
                <w:u w:val="none"/>
                <w:lang w:val="en-US" w:eastAsia="zh-CN"/>
              </w:rPr>
              <w:t>22</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6232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lang w:eastAsia="zh-CN"/>
              </w:rPr>
            </w:pPr>
            <w:r>
              <w:rPr>
                <w:rFonts w:hint="eastAsia" w:ascii="方正仿宋_GBK" w:hAnsi="方正仿宋_GBK" w:eastAsia="方正仿宋_GBK" w:cs="方正仿宋_GBK"/>
                <w:i w:val="0"/>
                <w:color w:val="auto"/>
                <w:sz w:val="30"/>
                <w:szCs w:val="30"/>
                <w:u w:val="none"/>
              </w:rPr>
              <w:t>恶性肿瘤</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253B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48000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4474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40000</w:t>
            </w:r>
          </w:p>
        </w:tc>
      </w:tr>
      <w:tr w14:paraId="173DF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B10C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sz w:val="30"/>
                <w:szCs w:val="30"/>
                <w:u w:val="none"/>
                <w:lang w:val="en-US" w:eastAsia="zh-CN"/>
              </w:rPr>
            </w:pPr>
            <w:r>
              <w:rPr>
                <w:rFonts w:hint="eastAsia" w:ascii="方正仿宋_GBK" w:hAnsi="方正仿宋_GBK" w:eastAsia="方正仿宋_GBK" w:cs="方正仿宋_GBK"/>
                <w:i w:val="0"/>
                <w:color w:val="auto"/>
                <w:sz w:val="30"/>
                <w:szCs w:val="30"/>
                <w:u w:val="none"/>
                <w:lang w:val="en-US" w:eastAsia="zh-CN"/>
              </w:rPr>
              <w:t>23</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F768A">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sz w:val="30"/>
                <w:szCs w:val="30"/>
                <w:u w:val="none"/>
              </w:rPr>
              <w:t>法布雷病</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7CE3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256000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E029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224000</w:t>
            </w:r>
          </w:p>
        </w:tc>
      </w:tr>
      <w:tr w14:paraId="3AC1D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C3C6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24</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FB74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甲状腺素蛋白淀粉样变性心肌病</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AC2B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164000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6978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144000</w:t>
            </w:r>
          </w:p>
        </w:tc>
      </w:tr>
      <w:tr w14:paraId="1BE2E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36BF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sz w:val="30"/>
                <w:szCs w:val="30"/>
                <w:u w:val="none"/>
                <w:lang w:val="en-US" w:eastAsia="zh-CN"/>
              </w:rPr>
            </w:pPr>
            <w:r>
              <w:rPr>
                <w:rFonts w:hint="eastAsia" w:ascii="方正仿宋_GBK" w:hAnsi="方正仿宋_GBK" w:eastAsia="方正仿宋_GBK" w:cs="方正仿宋_GBK"/>
                <w:i w:val="0"/>
                <w:color w:val="auto"/>
                <w:sz w:val="30"/>
                <w:szCs w:val="30"/>
                <w:u w:val="none"/>
                <w:lang w:val="en-US" w:eastAsia="zh-CN"/>
              </w:rPr>
              <w:t>25</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CEF44">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sz w:val="30"/>
                <w:szCs w:val="30"/>
                <w:u w:val="none"/>
              </w:rPr>
              <w:t>亨廷顿舞蹈症</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9D3E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32000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859F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28000</w:t>
            </w:r>
          </w:p>
        </w:tc>
      </w:tr>
      <w:tr w14:paraId="27617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2A7F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sz w:val="30"/>
                <w:szCs w:val="30"/>
                <w:u w:val="none"/>
                <w:lang w:val="en-US" w:eastAsia="zh-CN"/>
              </w:rPr>
            </w:pPr>
            <w:r>
              <w:rPr>
                <w:rFonts w:hint="eastAsia" w:ascii="方正仿宋_GBK" w:hAnsi="方正仿宋_GBK" w:eastAsia="方正仿宋_GBK" w:cs="方正仿宋_GBK"/>
                <w:i w:val="0"/>
                <w:color w:val="auto"/>
                <w:sz w:val="30"/>
                <w:szCs w:val="30"/>
                <w:u w:val="none"/>
                <w:lang w:val="en-US" w:eastAsia="zh-CN"/>
              </w:rPr>
              <w:t>26</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4D445">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sz w:val="30"/>
                <w:szCs w:val="30"/>
                <w:u w:val="none"/>
              </w:rPr>
              <w:t>视神经脊髓炎</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220A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32000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C521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28000</w:t>
            </w:r>
          </w:p>
        </w:tc>
      </w:tr>
      <w:tr w14:paraId="3861F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0083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27</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B6630">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脊髓延髓肌萎缩症（肯尼迪病）</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33BE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32000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CEED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28000</w:t>
            </w:r>
          </w:p>
        </w:tc>
      </w:tr>
      <w:tr w14:paraId="07378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741A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28</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E47A5">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kern w:val="0"/>
                <w:sz w:val="30"/>
                <w:szCs w:val="30"/>
                <w:u w:val="none"/>
                <w:lang w:val="en-US" w:eastAsia="zh-CN" w:bidi="ar"/>
              </w:rPr>
            </w:pPr>
            <w:r>
              <w:rPr>
                <w:rFonts w:hint="eastAsia" w:ascii="方正仿宋_GBK" w:hAnsi="方正仿宋_GBK" w:eastAsia="方正仿宋_GBK" w:cs="方正仿宋_GBK"/>
                <w:i w:val="0"/>
                <w:color w:val="auto"/>
                <w:kern w:val="0"/>
                <w:sz w:val="30"/>
                <w:szCs w:val="30"/>
                <w:u w:val="none"/>
                <w:lang w:val="en-US" w:eastAsia="zh-CN" w:bidi="ar"/>
              </w:rPr>
              <w:t>遗传性血管性水肿</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F3D8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24000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F900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21000</w:t>
            </w:r>
          </w:p>
        </w:tc>
      </w:tr>
      <w:tr w14:paraId="1AB99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C9A8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sz w:val="30"/>
                <w:szCs w:val="30"/>
                <w:u w:val="none"/>
                <w:lang w:val="en-US" w:eastAsia="zh-CN"/>
              </w:rPr>
            </w:pPr>
            <w:r>
              <w:rPr>
                <w:rFonts w:hint="eastAsia" w:ascii="方正仿宋_GBK" w:hAnsi="方正仿宋_GBK" w:eastAsia="方正仿宋_GBK" w:cs="方正仿宋_GBK"/>
                <w:i w:val="0"/>
                <w:color w:val="auto"/>
                <w:sz w:val="30"/>
                <w:szCs w:val="30"/>
                <w:u w:val="none"/>
                <w:lang w:val="en-US" w:eastAsia="zh-CN"/>
              </w:rPr>
              <w:t>29</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F4E5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sz w:val="30"/>
                <w:szCs w:val="30"/>
                <w:u w:val="none"/>
              </w:rPr>
              <w:t>脊髓性肌萎缩症</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4F89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128000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82E5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112000</w:t>
            </w:r>
          </w:p>
        </w:tc>
      </w:tr>
      <w:tr w14:paraId="44288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E90B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sz w:val="30"/>
                <w:szCs w:val="30"/>
                <w:u w:val="none"/>
                <w:lang w:val="en-US" w:eastAsia="zh-CN"/>
              </w:rPr>
            </w:pPr>
            <w:r>
              <w:rPr>
                <w:rFonts w:hint="eastAsia" w:ascii="方正仿宋_GBK" w:hAnsi="方正仿宋_GBK" w:eastAsia="方正仿宋_GBK" w:cs="方正仿宋_GBK"/>
                <w:i w:val="0"/>
                <w:color w:val="auto"/>
                <w:sz w:val="30"/>
                <w:szCs w:val="30"/>
                <w:u w:val="none"/>
                <w:lang w:val="en-US" w:eastAsia="zh-CN"/>
              </w:rPr>
              <w:t>30</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7EBE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sz w:val="30"/>
                <w:szCs w:val="30"/>
                <w:u w:val="none"/>
              </w:rPr>
              <w:t>β-地中海贫血</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F9A1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115000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F280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100000</w:t>
            </w:r>
          </w:p>
        </w:tc>
      </w:tr>
      <w:tr w14:paraId="21F02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BCCF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sz w:val="30"/>
                <w:szCs w:val="30"/>
                <w:u w:val="none"/>
                <w:lang w:val="en-US" w:eastAsia="zh-CN"/>
              </w:rPr>
            </w:pPr>
            <w:r>
              <w:rPr>
                <w:rFonts w:hint="eastAsia" w:ascii="方正仿宋_GBK" w:hAnsi="方正仿宋_GBK" w:eastAsia="方正仿宋_GBK" w:cs="方正仿宋_GBK"/>
                <w:i w:val="0"/>
                <w:color w:val="auto"/>
                <w:sz w:val="30"/>
                <w:szCs w:val="30"/>
                <w:u w:val="none"/>
                <w:lang w:val="en-US" w:eastAsia="zh-CN"/>
              </w:rPr>
              <w:t>31</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2CDD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sz w:val="30"/>
                <w:szCs w:val="30"/>
                <w:u w:val="none"/>
              </w:rPr>
              <w:t>戈谢病</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020B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比照住院</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1D1C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lang w:eastAsia="zh-CN"/>
              </w:rPr>
            </w:pPr>
            <w:r>
              <w:rPr>
                <w:rFonts w:hint="eastAsia" w:ascii="方正仿宋_GBK" w:hAnsi="方正仿宋_GBK" w:eastAsia="方正仿宋_GBK" w:cs="方正仿宋_GBK"/>
                <w:i w:val="0"/>
                <w:color w:val="auto"/>
                <w:sz w:val="30"/>
                <w:szCs w:val="30"/>
                <w:u w:val="none"/>
                <w:lang w:eastAsia="zh-CN"/>
              </w:rPr>
              <w:t>比照住院</w:t>
            </w:r>
          </w:p>
        </w:tc>
      </w:tr>
      <w:tr w14:paraId="05EDE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4373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sz w:val="30"/>
                <w:szCs w:val="30"/>
                <w:u w:val="none"/>
                <w:lang w:val="en-US" w:eastAsia="zh-CN"/>
              </w:rPr>
            </w:pPr>
            <w:r>
              <w:rPr>
                <w:rFonts w:hint="eastAsia" w:ascii="方正仿宋_GBK" w:hAnsi="方正仿宋_GBK" w:eastAsia="方正仿宋_GBK" w:cs="方正仿宋_GBK"/>
                <w:i w:val="0"/>
                <w:color w:val="auto"/>
                <w:sz w:val="30"/>
                <w:szCs w:val="30"/>
                <w:u w:val="none"/>
                <w:lang w:val="en-US" w:eastAsia="zh-CN"/>
              </w:rPr>
              <w:t>32</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0E7C2">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sz w:val="30"/>
                <w:szCs w:val="30"/>
                <w:u w:val="none"/>
              </w:rPr>
              <w:t>结节性硬化症</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7C5A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sz w:val="30"/>
                <w:szCs w:val="30"/>
                <w:u w:val="none"/>
                <w:lang w:val="en-US"/>
              </w:rPr>
            </w:pPr>
            <w:r>
              <w:rPr>
                <w:rFonts w:hint="eastAsia" w:ascii="方正仿宋_GBK" w:hAnsi="方正仿宋_GBK" w:eastAsia="方正仿宋_GBK" w:cs="方正仿宋_GBK"/>
                <w:i w:val="0"/>
                <w:color w:val="auto"/>
                <w:kern w:val="0"/>
                <w:sz w:val="30"/>
                <w:szCs w:val="30"/>
                <w:u w:val="none"/>
                <w:lang w:val="en-US" w:eastAsia="zh-CN" w:bidi="ar"/>
              </w:rPr>
              <w:t>96000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1951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sz w:val="30"/>
                <w:szCs w:val="30"/>
                <w:u w:val="none"/>
                <w:lang w:val="en-US"/>
              </w:rPr>
            </w:pPr>
            <w:r>
              <w:rPr>
                <w:rFonts w:hint="eastAsia" w:ascii="方正仿宋_GBK" w:hAnsi="方正仿宋_GBK" w:eastAsia="方正仿宋_GBK" w:cs="方正仿宋_GBK"/>
                <w:i w:val="0"/>
                <w:color w:val="auto"/>
                <w:kern w:val="0"/>
                <w:sz w:val="30"/>
                <w:szCs w:val="30"/>
                <w:u w:val="none"/>
                <w:lang w:val="en-US" w:eastAsia="zh-CN" w:bidi="ar"/>
              </w:rPr>
              <w:t>84000</w:t>
            </w:r>
          </w:p>
        </w:tc>
      </w:tr>
      <w:tr w14:paraId="4C97E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2588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sz w:val="30"/>
                <w:szCs w:val="30"/>
                <w:u w:val="none"/>
                <w:lang w:val="en-US" w:eastAsia="zh-CN"/>
              </w:rPr>
            </w:pPr>
            <w:r>
              <w:rPr>
                <w:rFonts w:hint="eastAsia" w:ascii="方正仿宋_GBK" w:hAnsi="方正仿宋_GBK" w:eastAsia="方正仿宋_GBK" w:cs="方正仿宋_GBK"/>
                <w:i w:val="0"/>
                <w:color w:val="auto"/>
                <w:sz w:val="30"/>
                <w:szCs w:val="30"/>
                <w:u w:val="none"/>
                <w:lang w:val="en-US" w:eastAsia="zh-CN"/>
              </w:rPr>
              <w:t>33</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A33E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sz w:val="30"/>
                <w:szCs w:val="30"/>
                <w:u w:val="none"/>
              </w:rPr>
              <w:t>大动脉炎</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AB29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72000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C7E5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63000</w:t>
            </w:r>
          </w:p>
        </w:tc>
      </w:tr>
      <w:tr w14:paraId="05963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8A2F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方正仿宋_GBK" w:hAnsi="方正仿宋_GBK" w:eastAsia="方正仿宋_GBK" w:cs="方正仿宋_GBK"/>
                <w:i w:val="0"/>
                <w:color w:val="auto"/>
                <w:sz w:val="30"/>
                <w:szCs w:val="30"/>
                <w:u w:val="none"/>
                <w:lang w:val="en-US" w:eastAsia="zh-CN"/>
              </w:rPr>
            </w:pPr>
            <w:r>
              <w:rPr>
                <w:rFonts w:hint="eastAsia" w:ascii="方正仿宋_GBK" w:hAnsi="方正仿宋_GBK" w:eastAsia="方正仿宋_GBK" w:cs="方正仿宋_GBK"/>
                <w:i w:val="0"/>
                <w:color w:val="auto"/>
                <w:sz w:val="30"/>
                <w:szCs w:val="30"/>
                <w:u w:val="none"/>
                <w:lang w:val="en-US" w:eastAsia="zh-CN"/>
              </w:rPr>
              <w:t>34</w:t>
            </w:r>
          </w:p>
        </w:tc>
        <w:tc>
          <w:tcPr>
            <w:tcW w:w="20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A9825">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sz w:val="30"/>
                <w:szCs w:val="30"/>
                <w:u w:val="none"/>
              </w:rPr>
              <w:t>进行性纤维化性间质性肺疾病</w:t>
            </w:r>
          </w:p>
        </w:tc>
        <w:tc>
          <w:tcPr>
            <w:tcW w:w="1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A4CA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32000</w:t>
            </w:r>
          </w:p>
        </w:tc>
        <w:tc>
          <w:tcPr>
            <w:tcW w:w="1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B811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仿宋_GBK" w:hAnsi="方正仿宋_GBK" w:eastAsia="方正仿宋_GBK" w:cs="方正仿宋_GBK"/>
                <w:i w:val="0"/>
                <w:color w:val="auto"/>
                <w:sz w:val="30"/>
                <w:szCs w:val="30"/>
                <w:u w:val="none"/>
              </w:rPr>
            </w:pPr>
            <w:r>
              <w:rPr>
                <w:rFonts w:hint="eastAsia" w:ascii="方正仿宋_GBK" w:hAnsi="方正仿宋_GBK" w:eastAsia="方正仿宋_GBK" w:cs="方正仿宋_GBK"/>
                <w:i w:val="0"/>
                <w:color w:val="auto"/>
                <w:kern w:val="0"/>
                <w:sz w:val="30"/>
                <w:szCs w:val="30"/>
                <w:u w:val="none"/>
                <w:lang w:val="en-US" w:eastAsia="zh-CN" w:bidi="ar"/>
              </w:rPr>
              <w:t>28000</w:t>
            </w:r>
          </w:p>
        </w:tc>
      </w:tr>
    </w:tbl>
    <w:p w14:paraId="345FC37B">
      <w:pPr>
        <w:rPr>
          <w:rFonts w:hint="eastAsia" w:ascii="仿宋" w:hAnsi="仿宋" w:eastAsia="仿宋" w:cs="仿宋"/>
          <w:color w:val="auto"/>
          <w:sz w:val="32"/>
          <w:szCs w:val="32"/>
          <w:lang w:val="en-US" w:eastAsia="zh-CN"/>
        </w:rPr>
      </w:pPr>
    </w:p>
    <w:p w14:paraId="632D14F0">
      <w:pPr>
        <w:rPr>
          <w:rFonts w:hint="eastAsia" w:ascii="仿宋" w:hAnsi="仿宋" w:eastAsia="仿宋" w:cs="仿宋"/>
          <w:color w:val="auto"/>
          <w:sz w:val="32"/>
          <w:szCs w:val="32"/>
          <w:lang w:val="en-US" w:eastAsia="zh-CN"/>
        </w:rPr>
      </w:pPr>
    </w:p>
    <w:p w14:paraId="4438F133">
      <w:pPr>
        <w:rPr>
          <w:rFonts w:hint="eastAsia" w:ascii="仿宋" w:hAnsi="仿宋" w:eastAsia="仿宋" w:cs="仿宋"/>
          <w:color w:val="auto"/>
          <w:sz w:val="32"/>
          <w:szCs w:val="32"/>
          <w:lang w:val="en-US" w:eastAsia="zh-CN"/>
        </w:rPr>
      </w:pPr>
    </w:p>
    <w:p w14:paraId="3C15DC43">
      <w:pPr>
        <w:rPr>
          <w:rFonts w:hint="eastAsia" w:ascii="仿宋" w:hAnsi="仿宋" w:eastAsia="仿宋" w:cs="仿宋"/>
          <w:color w:val="auto"/>
          <w:sz w:val="32"/>
          <w:szCs w:val="32"/>
          <w:lang w:val="en-US" w:eastAsia="zh-CN"/>
        </w:rPr>
      </w:pPr>
    </w:p>
    <w:p w14:paraId="0F692D35">
      <w:pPr>
        <w:rPr>
          <w:rFonts w:hint="eastAsia" w:ascii="仿宋" w:hAnsi="仿宋" w:eastAsia="仿宋" w:cs="仿宋"/>
          <w:color w:val="auto"/>
          <w:sz w:val="32"/>
          <w:szCs w:val="32"/>
          <w:lang w:val="en-US" w:eastAsia="zh-CN"/>
        </w:rPr>
      </w:pPr>
    </w:p>
    <w:p w14:paraId="1C06683F">
      <w:pPr>
        <w:rPr>
          <w:rFonts w:hint="eastAsia" w:ascii="仿宋" w:hAnsi="仿宋" w:eastAsia="仿宋" w:cs="仿宋"/>
          <w:color w:val="auto"/>
          <w:sz w:val="32"/>
          <w:szCs w:val="32"/>
          <w:lang w:val="en-US" w:eastAsia="zh-CN"/>
        </w:rPr>
      </w:pPr>
    </w:p>
    <w:p w14:paraId="64F99E0C">
      <w:pPr>
        <w:rPr>
          <w:rFonts w:hint="eastAsia" w:ascii="仿宋" w:hAnsi="仿宋" w:eastAsia="仿宋" w:cs="仿宋"/>
          <w:color w:val="auto"/>
          <w:sz w:val="32"/>
          <w:szCs w:val="32"/>
          <w:lang w:val="en-US" w:eastAsia="zh-CN"/>
        </w:rPr>
      </w:pPr>
    </w:p>
    <w:p w14:paraId="0041A900">
      <w:pPr>
        <w:rPr>
          <w:rFonts w:hint="eastAsia" w:ascii="仿宋" w:hAnsi="仿宋" w:eastAsia="仿宋" w:cs="仿宋"/>
          <w:color w:val="auto"/>
          <w:sz w:val="32"/>
          <w:szCs w:val="32"/>
          <w:lang w:val="en-US" w:eastAsia="zh-CN"/>
        </w:rPr>
      </w:pPr>
    </w:p>
    <w:p w14:paraId="686F8F7E">
      <w:pPr>
        <w:rPr>
          <w:rFonts w:hint="eastAsia" w:ascii="仿宋" w:hAnsi="仿宋" w:eastAsia="仿宋" w:cs="仿宋"/>
          <w:color w:val="auto"/>
          <w:sz w:val="32"/>
          <w:szCs w:val="32"/>
          <w:lang w:val="en-US" w:eastAsia="zh-CN"/>
        </w:rPr>
      </w:pPr>
    </w:p>
    <w:p w14:paraId="12301298">
      <w:pPr>
        <w:rPr>
          <w:rFonts w:hint="eastAsia" w:ascii="仿宋" w:hAnsi="仿宋" w:eastAsia="仿宋" w:cs="仿宋"/>
          <w:color w:val="auto"/>
          <w:sz w:val="32"/>
          <w:szCs w:val="32"/>
          <w:lang w:val="en-US" w:eastAsia="zh-CN"/>
        </w:rPr>
      </w:pPr>
    </w:p>
    <w:p w14:paraId="2A929460">
      <w:pPr>
        <w:rPr>
          <w:rFonts w:hint="eastAsia" w:ascii="仿宋" w:hAnsi="仿宋" w:eastAsia="仿宋" w:cs="仿宋"/>
          <w:color w:val="auto"/>
          <w:sz w:val="32"/>
          <w:szCs w:val="32"/>
          <w:lang w:val="en-US" w:eastAsia="zh-CN"/>
        </w:rPr>
      </w:pPr>
    </w:p>
    <w:p w14:paraId="029A027D">
      <w:pPr>
        <w:rPr>
          <w:rFonts w:hint="eastAsia" w:ascii="仿宋" w:hAnsi="仿宋" w:eastAsia="仿宋" w:cs="仿宋"/>
          <w:color w:val="auto"/>
          <w:sz w:val="32"/>
          <w:szCs w:val="32"/>
          <w:lang w:val="en-US" w:eastAsia="zh-CN"/>
        </w:rPr>
      </w:pPr>
    </w:p>
    <w:p w14:paraId="37614F41">
      <w:pPr>
        <w:rPr>
          <w:rFonts w:hint="eastAsia" w:ascii="仿宋" w:hAnsi="仿宋" w:eastAsia="仿宋" w:cs="仿宋"/>
          <w:color w:val="auto"/>
          <w:sz w:val="32"/>
          <w:szCs w:val="32"/>
          <w:lang w:val="en-US" w:eastAsia="zh-CN"/>
        </w:rPr>
      </w:pPr>
    </w:p>
    <w:p w14:paraId="0C962149">
      <w:pPr>
        <w:rPr>
          <w:rFonts w:hint="eastAsia" w:ascii="仿宋" w:hAnsi="仿宋" w:eastAsia="仿宋" w:cs="仿宋"/>
          <w:color w:val="auto"/>
          <w:sz w:val="32"/>
          <w:szCs w:val="32"/>
          <w:lang w:val="en-US" w:eastAsia="zh-CN"/>
        </w:rPr>
      </w:pPr>
    </w:p>
    <w:p w14:paraId="43AEE171">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附件5：关联病种</w:t>
      </w:r>
    </w:p>
    <w:p w14:paraId="1E31ACC5">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1．高血压、冠心病、心功能不全、脑卒中</w:t>
      </w:r>
    </w:p>
    <w:p w14:paraId="51641232">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2．白塞氏病、系统性硬化</w:t>
      </w:r>
      <w:r>
        <w:rPr>
          <w:rFonts w:hint="eastAsia" w:ascii="仿宋" w:hAnsi="仿宋" w:eastAsia="仿宋" w:cs="仿宋"/>
          <w:color w:val="auto"/>
          <w:sz w:val="32"/>
          <w:szCs w:val="32"/>
          <w:highlight w:val="none"/>
          <w:lang w:val="en-US" w:eastAsia="zh-CN"/>
        </w:rPr>
        <w:t>症</w:t>
      </w:r>
      <w:r>
        <w:rPr>
          <w:rFonts w:hint="eastAsia" w:ascii="仿宋" w:hAnsi="仿宋" w:eastAsia="仿宋" w:cs="仿宋"/>
          <w:color w:val="auto"/>
          <w:sz w:val="32"/>
          <w:szCs w:val="32"/>
          <w:lang w:val="en-US" w:eastAsia="zh-CN"/>
        </w:rPr>
        <w:t>、干燥综合征、多发性肌炎、皮肌炎、结节性多动脉炎、ANCA相关血管炎</w:t>
      </w:r>
    </w:p>
    <w:p w14:paraId="5DB49290">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3．白血病、恶性肿瘤</w:t>
      </w:r>
    </w:p>
    <w:p w14:paraId="1C099B40">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4．骨髓增生异常综合征、恶性肿瘤</w:t>
      </w:r>
    </w:p>
    <w:p w14:paraId="734BB8A0">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5．骨髓增生性疾病、恶性肿瘤</w:t>
      </w:r>
    </w:p>
    <w:p w14:paraId="7C3052E3">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6．结节性多动脉炎、大动脉炎</w:t>
      </w:r>
    </w:p>
    <w:p w14:paraId="09A23D79">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7．特发性肺纤维化、进行性纤维化性间质性肺疾病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6020202030204"/>
    <w:charset w:val="01"/>
    <w:family w:val="swiss"/>
    <w:pitch w:val="default"/>
    <w:sig w:usb0="00000287" w:usb1="00000800" w:usb2="00000000" w:usb3="00000000" w:csb0="2000009F" w:csb1="DFD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18030">
    <w:altName w:val="方正书宋_GBK"/>
    <w:panose1 w:val="02010600060101010101"/>
    <w:charset w:val="00"/>
    <w:family w:val="auto"/>
    <w:pitch w:val="default"/>
    <w:sig w:usb0="00000000" w:usb1="00000000" w:usb2="0000001E" w:usb3="00000000" w:csb0="003C0041"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BF861C"/>
    <w:multiLevelType w:val="singleLevel"/>
    <w:tmpl w:val="3FBF861C"/>
    <w:lvl w:ilvl="0" w:tentative="0">
      <w:start w:val="1"/>
      <w:numFmt w:val="chineseCounting"/>
      <w:suff w:val="space"/>
      <w:lvlText w:val="第%1章"/>
      <w:lvlJc w:val="left"/>
      <w:rPr>
        <w:rFonts w:hint="eastAsia"/>
      </w:rPr>
    </w:lvl>
  </w:abstractNum>
  <w:abstractNum w:abstractNumId="1">
    <w:nsid w:val="531B0A0C"/>
    <w:multiLevelType w:val="multilevel"/>
    <w:tmpl w:val="531B0A0C"/>
    <w:lvl w:ilvl="0" w:tentative="0">
      <w:start w:val="1"/>
      <w:numFmt w:val="decimal"/>
      <w:suff w:val="space"/>
      <w:lvlText w:val="%1"/>
      <w:lvlJc w:val="left"/>
      <w:pPr>
        <w:ind w:left="431" w:hanging="431"/>
      </w:pPr>
      <w:rPr>
        <w:rFonts w:hint="eastAsia"/>
      </w:rPr>
    </w:lvl>
    <w:lvl w:ilvl="1" w:tentative="0">
      <w:start w:val="1"/>
      <w:numFmt w:val="decimal"/>
      <w:pStyle w:val="2"/>
      <w:suff w:val="space"/>
      <w:lvlText w:val="%1.%2"/>
      <w:lvlJc w:val="left"/>
      <w:pPr>
        <w:ind w:left="431" w:hanging="431"/>
      </w:pPr>
      <w:rPr>
        <w:rFonts w:hint="eastAsia"/>
        <w:b w:val="0"/>
        <w:bCs w:val="0"/>
        <w:i w:val="0"/>
        <w:iCs w:val="0"/>
        <w:caps w:val="0"/>
        <w:smallCaps w:val="0"/>
        <w:strike w:val="0"/>
        <w:dstrike w:val="0"/>
        <w:vanish w:val="0"/>
        <w:spacing w:val="0"/>
        <w:position w:val="0"/>
        <w:u w:val="none"/>
        <w:vertAlign w:val="baseline"/>
      </w:rPr>
    </w:lvl>
    <w:lvl w:ilvl="2" w:tentative="0">
      <w:start w:val="1"/>
      <w:numFmt w:val="decimal"/>
      <w:suff w:val="space"/>
      <w:lvlText w:val="%1.%2.%3"/>
      <w:lvlJc w:val="left"/>
      <w:pPr>
        <w:ind w:left="431" w:hanging="431"/>
      </w:pPr>
      <w:rPr>
        <w:b w:val="0"/>
        <w:bCs w:val="0"/>
        <w:i w:val="0"/>
        <w:iCs w:val="0"/>
        <w:caps w:val="0"/>
        <w:smallCaps w:val="0"/>
        <w:strike w:val="0"/>
        <w:dstrike w:val="0"/>
        <w:vanish w:val="0"/>
        <w:spacing w:val="0"/>
        <w:position w:val="0"/>
        <w:u w:val="none"/>
        <w:vertAlign w:val="baseline"/>
      </w:rPr>
    </w:lvl>
    <w:lvl w:ilvl="3" w:tentative="0">
      <w:start w:val="1"/>
      <w:numFmt w:val="decimal"/>
      <w:lvlText w:val="%1.%2.%3.%4"/>
      <w:lvlJc w:val="left"/>
      <w:pPr>
        <w:ind w:left="431" w:hanging="431"/>
      </w:pPr>
      <w:rPr>
        <w:b w:val="0"/>
        <w:bCs w:val="0"/>
        <w:i w:val="0"/>
        <w:iCs w:val="0"/>
        <w:caps w:val="0"/>
        <w:smallCaps w:val="0"/>
        <w:strike w:val="0"/>
        <w:dstrike w:val="0"/>
        <w:vanish w:val="0"/>
        <w:spacing w:val="0"/>
        <w:position w:val="0"/>
        <w:u w:val="none"/>
        <w:vertAlign w:val="baseline"/>
      </w:rPr>
    </w:lvl>
    <w:lvl w:ilvl="4" w:tentative="0">
      <w:start w:val="1"/>
      <w:numFmt w:val="decimal"/>
      <w:lvlText w:val="%1.%2.%3.%4.%5"/>
      <w:lvlJc w:val="left"/>
      <w:pPr>
        <w:tabs>
          <w:tab w:val="left" w:pos="57"/>
        </w:tabs>
        <w:ind w:left="0" w:firstLine="0"/>
      </w:pPr>
      <w:rPr>
        <w:b w:val="0"/>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ind w:left="431" w:hanging="431"/>
      </w:pPr>
      <w:rPr>
        <w:b w:val="0"/>
        <w:bCs w:val="0"/>
        <w:i w:val="0"/>
        <w:iCs w:val="0"/>
        <w:caps w:val="0"/>
        <w:smallCaps w:val="0"/>
        <w:strike w:val="0"/>
        <w:dstrike w:val="0"/>
        <w:vanish w:val="0"/>
        <w:spacing w:val="0"/>
        <w:position w:val="0"/>
        <w:u w:val="none"/>
        <w:vertAlign w:val="baseline"/>
      </w:rPr>
    </w:lvl>
    <w:lvl w:ilvl="6" w:tentative="0">
      <w:start w:val="1"/>
      <w:numFmt w:val="decimal"/>
      <w:lvlText w:val="%1.%2.%3.%4.%5.%6.%7"/>
      <w:lvlJc w:val="left"/>
      <w:pPr>
        <w:ind w:left="431" w:hanging="431"/>
      </w:pPr>
      <w:rPr>
        <w:rFonts w:hint="default" w:ascii="Times New Roman" w:hAnsi="Times New Roman" w:cs="Times New Roman"/>
      </w:rPr>
    </w:lvl>
    <w:lvl w:ilvl="7" w:tentative="0">
      <w:start w:val="1"/>
      <w:numFmt w:val="decimal"/>
      <w:lvlText w:val="%1.%2.%3.%4.%5.%6.%7.%8"/>
      <w:lvlJc w:val="left"/>
      <w:pPr>
        <w:ind w:left="431" w:hanging="431"/>
      </w:pPr>
      <w:rPr>
        <w:rFonts w:hint="eastAsia"/>
        <w:b w:val="0"/>
        <w:bCs w:val="0"/>
        <w:i w:val="0"/>
        <w:iCs w:val="0"/>
        <w:caps w:val="0"/>
        <w:smallCaps w:val="0"/>
        <w:strike w:val="0"/>
        <w:dstrike w:val="0"/>
        <w:vanish w:val="0"/>
        <w:spacing w:val="0"/>
        <w:position w:val="0"/>
        <w:u w:val="none"/>
        <w:vertAlign w:val="baseline"/>
      </w:rPr>
    </w:lvl>
    <w:lvl w:ilvl="8" w:tentative="0">
      <w:start w:val="1"/>
      <w:numFmt w:val="decimal"/>
      <w:lvlText w:val="%1.%2.%3.%4.%5.%6.%7.%8.%9"/>
      <w:lvlJc w:val="left"/>
      <w:pPr>
        <w:ind w:left="431" w:hanging="431"/>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771EA7"/>
    <w:rsid w:val="0FD791F0"/>
    <w:rsid w:val="1FFFA292"/>
    <w:rsid w:val="31BEE5B2"/>
    <w:rsid w:val="3768B286"/>
    <w:rsid w:val="3E132E8D"/>
    <w:rsid w:val="3F7E593E"/>
    <w:rsid w:val="3F7FB954"/>
    <w:rsid w:val="3FBF8888"/>
    <w:rsid w:val="59FD8215"/>
    <w:rsid w:val="5E771EA7"/>
    <w:rsid w:val="627B9C82"/>
    <w:rsid w:val="77CF2C78"/>
    <w:rsid w:val="78E2367E"/>
    <w:rsid w:val="7955AC91"/>
    <w:rsid w:val="7B7EB24C"/>
    <w:rsid w:val="7BCFE7A7"/>
    <w:rsid w:val="7FA7204E"/>
    <w:rsid w:val="7FDE2AC4"/>
    <w:rsid w:val="7FEF4313"/>
    <w:rsid w:val="7FF21A75"/>
    <w:rsid w:val="97FDBF8B"/>
    <w:rsid w:val="A79F0C3A"/>
    <w:rsid w:val="ABBF9ED0"/>
    <w:rsid w:val="B5EF920D"/>
    <w:rsid w:val="BFB6E68E"/>
    <w:rsid w:val="CDFB3EE4"/>
    <w:rsid w:val="D5BF4682"/>
    <w:rsid w:val="E65E52D5"/>
    <w:rsid w:val="EEDFD485"/>
    <w:rsid w:val="F5FEE6CC"/>
    <w:rsid w:val="F678E734"/>
    <w:rsid w:val="F9F75811"/>
    <w:rsid w:val="FCDA3BBF"/>
    <w:rsid w:val="FCF68B6A"/>
    <w:rsid w:val="FCF7AE30"/>
    <w:rsid w:val="FEB5DE21"/>
    <w:rsid w:val="FEF71A53"/>
    <w:rsid w:val="FF7BAE35"/>
    <w:rsid w:val="FFDB2B19"/>
    <w:rsid w:val="FFFEFDFB"/>
    <w:rsid w:val="FFFF7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numPr>
        <w:ilvl w:val="1"/>
        <w:numId w:val="1"/>
      </w:numPr>
      <w:snapToGrid w:val="0"/>
      <w:spacing w:before="120" w:after="120" w:line="240" w:lineRule="auto"/>
      <w:ind w:firstLine="0" w:firstLineChars="0"/>
      <w:jc w:val="left"/>
      <w:outlineLvl w:val="1"/>
    </w:pPr>
    <w:rPr>
      <w:rFonts w:ascii="黑体" w:hAnsi="黑体" w:eastAsia="黑体" w:cs="Times New Roman"/>
      <w:color w:val="auto"/>
      <w:kern w:val="0"/>
      <w:sz w:val="21"/>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0</Words>
  <Characters>0</Characters>
  <Lines>0</Lines>
  <Paragraphs>0</Paragraphs>
  <TotalTime>1</TotalTime>
  <ScaleCrop>false</ScaleCrop>
  <LinksUpToDate>false</LinksUpToDate>
  <CharactersWithSpaces>0</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2025-03-15T11:02:00Z</dcterms:created>
  <dc:creator>thtf</dc:creator>
  <cp:lastModifiedBy>thtf</cp:lastModifiedBy>
  <cp:lastPrinted>2025-03-19T11:45:00Z</cp:lastPrinted>
  <dcterms:modified xsi:type="dcterms:W3CDTF">2025-03-19T10:49:03Z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98E68413BA306FEC9E03D8673E203691_43</vt:lpwstr>
  </property>
</Properties>
</file>