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eastAsia="黑体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芜湖市基本医疗保险定点医疗机构评分标准表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（住院类医疗机构 80分合格）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967"/>
        <w:gridCol w:w="4360"/>
        <w:gridCol w:w="494"/>
        <w:gridCol w:w="494"/>
        <w:gridCol w:w="221"/>
        <w:gridCol w:w="789"/>
        <w:gridCol w:w="99"/>
        <w:gridCol w:w="873"/>
        <w:gridCol w:w="5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658" w:type="dxa"/>
            <w:gridSpan w:val="2"/>
          </w:tcPr>
          <w:p>
            <w:pPr>
              <w:pStyle w:val="11"/>
              <w:spacing w:before="102"/>
              <w:ind w:left="674"/>
              <w:rPr>
                <w:rFonts w:hint="eastAsia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医疗机构名称</w:t>
            </w:r>
          </w:p>
        </w:tc>
        <w:tc>
          <w:tcPr>
            <w:tcW w:w="12357" w:type="dxa"/>
            <w:gridSpan w:val="8"/>
          </w:tcPr>
          <w:p>
            <w:pPr>
              <w:pStyle w:val="11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1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  <w:tcBorders>
              <w:left w:val="nil"/>
              <w:right w:val="nil"/>
            </w:tcBorders>
          </w:tcPr>
          <w:p>
            <w:pPr>
              <w:pStyle w:val="11"/>
              <w:spacing w:before="35"/>
              <w:ind w:right="99"/>
              <w:jc w:val="right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否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11"/>
              <w:spacing w:before="35"/>
              <w:ind w:left="15"/>
              <w:jc w:val="center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决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11"/>
              <w:spacing w:before="35"/>
              <w:ind w:left="11"/>
              <w:jc w:val="center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项</w:t>
            </w: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before="35"/>
              <w:ind w:left="112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目</w:t>
            </w:r>
          </w:p>
        </w:tc>
        <w:tc>
          <w:tcPr>
            <w:tcW w:w="97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027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691" w:type="dxa"/>
            <w:vAlign w:val="center"/>
          </w:tcPr>
          <w:p>
            <w:pPr>
              <w:pStyle w:val="11"/>
              <w:spacing w:before="144"/>
              <w:ind w:left="48" w:right="16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pStyle w:val="11"/>
              <w:spacing w:before="144"/>
              <w:ind w:left="50" w:right="19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评定项目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144"/>
              <w:ind w:right="2339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评定标准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pStyle w:val="11"/>
              <w:spacing w:before="132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评定情况</w:t>
            </w: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144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需提交相关证明材料及考核办法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91" w:type="dxa"/>
          </w:tcPr>
          <w:p>
            <w:pPr>
              <w:pStyle w:val="11"/>
              <w:spacing w:before="3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left="33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67" w:type="dxa"/>
          </w:tcPr>
          <w:p>
            <w:pPr>
              <w:pStyle w:val="11"/>
              <w:spacing w:before="6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医疗机构执业资格情况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依法取得有效医疗机构执业许可证或中医诊所备案证或军队医 疗机构为民服务许可证，正式运营至少3个月</w:t>
            </w:r>
          </w:p>
        </w:tc>
        <w:tc>
          <w:tcPr>
            <w:tcW w:w="789" w:type="dxa"/>
            <w:tcBorders>
              <w:right w:val="nil"/>
            </w:tcBorders>
          </w:tcPr>
          <w:p>
            <w:pPr>
              <w:pStyle w:val="11"/>
              <w:spacing w:before="2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right="71"/>
              <w:jc w:val="righ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</w:t>
            </w:r>
          </w:p>
        </w:tc>
        <w:tc>
          <w:tcPr>
            <w:tcW w:w="972" w:type="dxa"/>
            <w:gridSpan w:val="2"/>
            <w:tcBorders>
              <w:left w:val="nil"/>
            </w:tcBorders>
          </w:tcPr>
          <w:p>
            <w:pPr>
              <w:pStyle w:val="11"/>
              <w:spacing w:before="2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left="80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□不符合</w:t>
            </w: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相关许可证书复印件，若为营利性医疗机构，还需提供《营业执照》副本复印件。3个月以来的水电缴费、人员工资发放流水等。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91" w:type="dxa"/>
          </w:tcPr>
          <w:p>
            <w:pPr>
              <w:pStyle w:val="11"/>
              <w:spacing w:before="2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1"/>
              <w:ind w:left="33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67" w:type="dxa"/>
          </w:tcPr>
          <w:p>
            <w:pPr>
              <w:pStyle w:val="11"/>
              <w:spacing w:before="6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left="52" w:right="16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相关配备情况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符合卫健等相关行政部门规定的执业条件，达到相应类别医疗 机构建设基本标准</w:t>
            </w:r>
          </w:p>
        </w:tc>
        <w:tc>
          <w:tcPr>
            <w:tcW w:w="789" w:type="dxa"/>
            <w:tcBorders>
              <w:right w:val="nil"/>
            </w:tcBorders>
          </w:tcPr>
          <w:p>
            <w:pPr>
              <w:pStyle w:val="11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right="71"/>
              <w:jc w:val="righ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</w:t>
            </w:r>
          </w:p>
        </w:tc>
        <w:tc>
          <w:tcPr>
            <w:tcW w:w="972" w:type="dxa"/>
            <w:gridSpan w:val="2"/>
            <w:tcBorders>
              <w:left w:val="nil"/>
            </w:tcBorders>
          </w:tcPr>
          <w:p>
            <w:pPr>
              <w:pStyle w:val="11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left="80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□不符合</w:t>
            </w: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《卫技人员花名册》，相关人员执业、职称证书，房屋产权及使用权证明材料等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91" w:type="dxa"/>
          </w:tcPr>
          <w:p>
            <w:pPr>
              <w:pStyle w:val="11"/>
              <w:spacing w:before="119"/>
              <w:ind w:left="33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67" w:type="dxa"/>
          </w:tcPr>
          <w:p>
            <w:pPr>
              <w:pStyle w:val="11"/>
              <w:spacing w:before="120"/>
              <w:ind w:left="52" w:right="16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主营业务情况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主营业务按照执业许可证开展范围等，基本医疗服务执行医疗保障行政部门制定的医药价格政策</w:t>
            </w:r>
          </w:p>
        </w:tc>
        <w:tc>
          <w:tcPr>
            <w:tcW w:w="789" w:type="dxa"/>
            <w:tcBorders>
              <w:right w:val="nil"/>
            </w:tcBorders>
          </w:tcPr>
          <w:p>
            <w:pPr>
              <w:pStyle w:val="11"/>
              <w:spacing w:before="102"/>
              <w:ind w:right="71"/>
              <w:jc w:val="righ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</w:t>
            </w:r>
          </w:p>
        </w:tc>
        <w:tc>
          <w:tcPr>
            <w:tcW w:w="972" w:type="dxa"/>
            <w:gridSpan w:val="2"/>
            <w:tcBorders>
              <w:left w:val="nil"/>
            </w:tcBorders>
          </w:tcPr>
          <w:p>
            <w:pPr>
              <w:pStyle w:val="11"/>
              <w:spacing w:before="102"/>
              <w:ind w:left="80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□不符合</w:t>
            </w: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各类医疗服务统计表，基本医疗服务价格标准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1" w:type="dxa"/>
          </w:tcPr>
          <w:p>
            <w:pPr>
              <w:pStyle w:val="11"/>
              <w:spacing w:before="2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left="33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67" w:type="dxa"/>
          </w:tcPr>
          <w:p>
            <w:pPr>
              <w:pStyle w:val="11"/>
              <w:spacing w:before="5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1"/>
              <w:ind w:left="52" w:right="16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财务制度管理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有完整的财务管理制度，配备专兼职财务管理人员，保存完整的会计凭证、账簿及财务报表等</w:t>
            </w:r>
          </w:p>
        </w:tc>
        <w:tc>
          <w:tcPr>
            <w:tcW w:w="789" w:type="dxa"/>
            <w:tcBorders>
              <w:right w:val="nil"/>
            </w:tcBorders>
          </w:tcPr>
          <w:p>
            <w:pPr>
              <w:pStyle w:val="11"/>
              <w:spacing w:before="1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right="71"/>
              <w:jc w:val="righ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</w:t>
            </w:r>
          </w:p>
        </w:tc>
        <w:tc>
          <w:tcPr>
            <w:tcW w:w="972" w:type="dxa"/>
            <w:gridSpan w:val="2"/>
            <w:tcBorders>
              <w:left w:val="nil"/>
            </w:tcBorders>
          </w:tcPr>
          <w:p>
            <w:pPr>
              <w:pStyle w:val="11"/>
              <w:spacing w:before="1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left="80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□不符合</w:t>
            </w: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财务管理制度、专职财务人员任职文件或聘任合同，查看会计凭证、账簿、财务报表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691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left="33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67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1"/>
              <w:ind w:left="52" w:right="15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信息化系统配备情况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配备完善的药品、医用材料等“进销存”管理系统。配备符合医疗保险联网结算和智能监控要求的计算机管理系统。</w:t>
            </w:r>
          </w:p>
        </w:tc>
        <w:tc>
          <w:tcPr>
            <w:tcW w:w="789" w:type="dxa"/>
            <w:tcBorders>
              <w:right w:val="nil"/>
            </w:tcBorders>
          </w:tcPr>
          <w:p>
            <w:pPr>
              <w:pStyle w:val="11"/>
              <w:spacing w:before="8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right="71"/>
              <w:jc w:val="righ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</w:t>
            </w:r>
          </w:p>
        </w:tc>
        <w:tc>
          <w:tcPr>
            <w:tcW w:w="972" w:type="dxa"/>
            <w:gridSpan w:val="2"/>
            <w:tcBorders>
              <w:left w:val="nil"/>
            </w:tcBorders>
          </w:tcPr>
          <w:p>
            <w:pPr>
              <w:pStyle w:val="11"/>
              <w:spacing w:before="8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ind w:left="80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□不符合</w:t>
            </w: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1"/>
              <w:ind w:left="52" w:right="1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提供系统界面截图，其中、药品耗材查询、购进（配送）、使用、存量等环节截图不少于5张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91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  <w:tcBorders>
              <w:left w:val="nil"/>
              <w:right w:val="nil"/>
            </w:tcBorders>
          </w:tcPr>
          <w:p>
            <w:pPr>
              <w:pStyle w:val="11"/>
              <w:spacing w:before="52"/>
              <w:ind w:right="99"/>
              <w:jc w:val="right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评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11"/>
              <w:spacing w:before="52"/>
              <w:ind w:left="15"/>
              <w:jc w:val="center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分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11"/>
              <w:spacing w:before="52"/>
              <w:ind w:left="11"/>
              <w:jc w:val="center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项</w:t>
            </w: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before="52"/>
              <w:ind w:left="112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目</w:t>
            </w:r>
          </w:p>
        </w:tc>
        <w:tc>
          <w:tcPr>
            <w:tcW w:w="97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027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91" w:type="dxa"/>
          </w:tcPr>
          <w:p>
            <w:pPr>
              <w:pStyle w:val="11"/>
              <w:spacing w:before="144"/>
              <w:ind w:left="48" w:right="16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pStyle w:val="11"/>
              <w:spacing w:before="144"/>
              <w:ind w:left="48" w:right="16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  <w:t>评分项目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144"/>
              <w:ind w:left="48" w:right="16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  <w:t>评分标准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pStyle w:val="11"/>
              <w:spacing w:before="144"/>
              <w:ind w:left="48" w:right="16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11"/>
              <w:spacing w:before="144"/>
              <w:ind w:left="48" w:right="16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  <w:t>得分</w:t>
            </w: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144"/>
              <w:ind w:left="48" w:right="16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40"/>
              </w:rPr>
              <w:t>需提交相关证明材料及考核办法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1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医疗保障等制度管理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有健全完善且与基本医疗保险制度相适应的内部管理制度得6分，主要负责人负责医保工作得5分，设立医保办公室得2分，配备专职医疗保险管理人员得2分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主要负责人分管文件、内部科室设置文件、专职医疗保 险管理人员任职文件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91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67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核定床位数量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达到相应类别医疗机构标准配备床位数得5分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91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67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第一执业地点注册于该医疗机构的医师数量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达到相应类别医疗机构标准医师配备数量得6分，每增加1名高 级职称加1分，中级职称加0.5分，最高得10分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1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67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注册执业于该医疗机构的护师（士）数量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达到相应类别医疗机构标准护师（士）配备数量得6分，每增加1名高级职称加1分，中级职称加0.5分，最高得10分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7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102"/>
        <w:tblOverlap w:val="never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2132"/>
        <w:gridCol w:w="5566"/>
        <w:gridCol w:w="886"/>
        <w:gridCol w:w="872"/>
        <w:gridCol w:w="50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卫生技术人员、护师</w:t>
            </w:r>
          </w:p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（士）与床位配备比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达到相应类别医疗机构标准医师、护师（士）与床位配比得8分，配比每增加0.1加1分，最高10分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医疗设备配置数量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达到相应类别医疗机构标准设备配置数量得3分，每增加1套万元以上设备加0.1分，最高得5分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《大型医用设备清单》，提供大型设备发票复印件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药品、耗材“进销存” 管理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有“进销存”台账得3分，有购进药品、耗材合法票据得3分， 进销存管理清晰，票据、台账与实际库存相符得4分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近半年（正式运营不满半年的，以正式运营时间为准） “进销存”系统导出进销存台账；购进药品、耗材合法票据的复印件及清单；现场查看情况、熟练操作情况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信息系统管理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正常使用符合医疗保险联网结算和智能监控要求的计算机管理系统，信息系统与医保系统完全直接对接、联网并实时上传相关原始数据并保证真实完整得5分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配备的基本医疗保险药品种类数量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达到200种（不含中药饮片）得3分，每增加100种加1分，最高5分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《医疗机构配备的药品统计表》及《医疗机构配备的药 品明细清单》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具备日清单、出院结算明细单制度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每日给患者提供日清单、出院提供结算明细单和发票存根联，得5分，否则不得分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日清单、结算明细单示例。现场查看随机患者清单2份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价格收费情况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both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医院有完整明确的诊疗项目一览表及收费公示得2分；各医技科室有符合要求的检查人员日志登记簿得2分，病人检查项目与各科室登记簿核定一致得1分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提供完整明确的诊疗项目一览表及收费公示；各医技科 室的检查人员日志登记簿；现场随机查看出院患者结算明细单2份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住院病历抽查情况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随机抽取近期5份住院病历，由相关专家对其完整性、规范性、 合理性等情况进行评估，不符合规范的每份扣1分，扣完为止。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随机抽取近期5份住院病历，由相关专家对其完整性、规范性、合理性等情况进行评估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13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参加社会保险情况</w:t>
            </w:r>
          </w:p>
        </w:tc>
        <w:tc>
          <w:tcPr>
            <w:tcW w:w="556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所有员工参加社会保险并缴纳社会保险费得5分，否则不得分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提供单位参保人员花名册、已参保缴费证明，其中返聘退休人员的，提供退休证明材料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224" w:type="dxa"/>
            <w:gridSpan w:val="3"/>
          </w:tcPr>
          <w:p>
            <w:pPr>
              <w:pStyle w:val="11"/>
              <w:spacing w:before="104"/>
              <w:ind w:right="3665"/>
              <w:jc w:val="center"/>
              <w:rPr>
                <w:b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分值合计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872" w:type="dxa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6" w:type="dxa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center"/>
        <w:rPr>
          <w:rFonts w:ascii="Times New Roman"/>
          <w:sz w:val="18"/>
        </w:rPr>
        <w:sectPr>
          <w:footerReference r:id="rId3" w:type="default"/>
          <w:pgSz w:w="16840" w:h="11910" w:orient="landscape"/>
          <w:pgMar w:top="560" w:right="520" w:bottom="600" w:left="520" w:header="0" w:footer="369" w:gutter="0"/>
          <w:pgNumType w:fmt="numberInDash"/>
          <w:cols w:space="720" w:num="1"/>
          <w:formProt w:val="1"/>
        </w:sectPr>
      </w:pPr>
    </w:p>
    <w:p>
      <w:pPr>
        <w:pStyle w:val="4"/>
        <w:jc w:val="center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芜湖市基本医疗保险协议医疗机构评分标准表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（非住院类医疗机构 80分合格）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059"/>
        <w:gridCol w:w="4221"/>
        <w:gridCol w:w="484"/>
        <w:gridCol w:w="484"/>
        <w:gridCol w:w="165"/>
        <w:gridCol w:w="1059"/>
        <w:gridCol w:w="869"/>
        <w:gridCol w:w="51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75" w:type="dxa"/>
            <w:gridSpan w:val="2"/>
          </w:tcPr>
          <w:p>
            <w:pPr>
              <w:pStyle w:val="11"/>
              <w:spacing w:before="136"/>
              <w:ind w:left="89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105"/>
                <w:sz w:val="28"/>
                <w:szCs w:val="28"/>
              </w:rPr>
              <w:t>医疗机构名称</w:t>
            </w:r>
          </w:p>
        </w:tc>
        <w:tc>
          <w:tcPr>
            <w:tcW w:w="12471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016" w:type="dxa"/>
            <w:tcBorders>
              <w:right w:val="nil"/>
            </w:tcBorders>
          </w:tcPr>
          <w:p>
            <w:pPr>
              <w:pStyle w:val="11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21" w:type="dxa"/>
            <w:tcBorders>
              <w:left w:val="nil"/>
              <w:right w:val="nil"/>
            </w:tcBorders>
          </w:tcPr>
          <w:p>
            <w:pPr>
              <w:pStyle w:val="11"/>
              <w:spacing w:before="54"/>
              <w:ind w:right="94"/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1"/>
                <w:sz w:val="28"/>
                <w:szCs w:val="28"/>
              </w:rPr>
              <w:t>否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>
            <w:pPr>
              <w:pStyle w:val="11"/>
              <w:spacing w:before="54"/>
              <w:ind w:left="14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1"/>
                <w:sz w:val="28"/>
                <w:szCs w:val="28"/>
              </w:rPr>
              <w:t>决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>
            <w:pPr>
              <w:pStyle w:val="11"/>
              <w:spacing w:before="54"/>
              <w:ind w:right="94"/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1"/>
                <w:sz w:val="28"/>
                <w:szCs w:val="28"/>
              </w:rPr>
              <w:t>项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before="54"/>
              <w:ind w:left="111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1"/>
                <w:sz w:val="28"/>
                <w:szCs w:val="28"/>
              </w:rPr>
              <w:t>目</w:t>
            </w:r>
          </w:p>
        </w:tc>
        <w:tc>
          <w:tcPr>
            <w:tcW w:w="86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89" w:type="dxa"/>
            <w:tcBorders>
              <w:left w:val="nil"/>
            </w:tcBorders>
          </w:tcPr>
          <w:p>
            <w:pPr>
              <w:pStyle w:val="11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154"/>
              <w:ind w:left="221" w:right="187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5"/>
                <w:sz w:val="28"/>
                <w:szCs w:val="28"/>
              </w:rPr>
              <w:t>序号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154"/>
              <w:ind w:left="89" w:right="57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5"/>
                <w:sz w:val="28"/>
                <w:szCs w:val="28"/>
              </w:rPr>
              <w:t>评定项目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154"/>
              <w:ind w:right="2232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5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5"/>
                <w:sz w:val="28"/>
                <w:szCs w:val="28"/>
              </w:rPr>
              <w:t>评定标准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11"/>
              <w:spacing w:before="141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5"/>
                <w:sz w:val="28"/>
                <w:szCs w:val="28"/>
              </w:rPr>
              <w:t>评定情况</w:t>
            </w: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154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105"/>
                <w:sz w:val="28"/>
                <w:szCs w:val="28"/>
              </w:rPr>
              <w:t>需提交相关证明材料及考核办法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医疗机构执业资格情况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符合卫生健康行政部门规定执业条件，依法取得有效《医疗机构执业许可证》，在注册地址正式经营至少3个月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 □不符合</w:t>
            </w: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《医疗机构执业许可证》复印件，若为营利性医疗机构，还需提供《营业执照》副本复印件，3个月以来的水电缴费、 人员工资发放流水等。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相关配备情况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符合卫健等相关行政部门规定的执业条件，达到相应类别医疗机构建设基本标准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 □不符合</w:t>
            </w: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《卫技人员花名册》，相关人员执业、职称证书，房屋产权及使用权证明材料等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主营业务情况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主营业务按照执业许可证开展范围等，基本医疗服务执行医疗保障行政部门制定的医药价格政策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 □不符合</w:t>
            </w: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各类医疗服务统计表，基本医疗服务价格标准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财务制度管理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有完整的财务管理制度，配备专兼职财务管理人员，保存完整的会计凭证、账簿及财务报表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 □不符合</w:t>
            </w: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财务管理制度、专职财务人员任职文件或聘任合同，查看会计凭证、账簿、财务报表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信息化系统配备情况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配备完善的药品、医用材料等“进销存”管理系统。配备符合医疗保险联网结算和智能监控要求的计算机管理系统。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□符合 □不符合</w:t>
            </w: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提供系统界面截图，其中、药品耗材查询、购进（配送）、使用、存量等环节截图不少于5张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16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  <w:tcBorders>
              <w:left w:val="nil"/>
              <w:right w:val="nil"/>
            </w:tcBorders>
          </w:tcPr>
          <w:p>
            <w:pPr>
              <w:pStyle w:val="11"/>
              <w:spacing w:before="115"/>
              <w:ind w:right="94"/>
              <w:jc w:val="righ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101"/>
                <w:sz w:val="28"/>
                <w:szCs w:val="28"/>
              </w:rPr>
              <w:t>评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>
            <w:pPr>
              <w:pStyle w:val="11"/>
              <w:spacing w:before="115"/>
              <w:ind w:left="14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101"/>
                <w:sz w:val="28"/>
                <w:szCs w:val="28"/>
              </w:rPr>
              <w:t>分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>
            <w:pPr>
              <w:pStyle w:val="11"/>
              <w:spacing w:before="115"/>
              <w:ind w:right="94"/>
              <w:jc w:val="righ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101"/>
                <w:sz w:val="28"/>
                <w:szCs w:val="28"/>
              </w:rPr>
              <w:t>项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before="115"/>
              <w:ind w:left="111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w w:val="101"/>
                <w:sz w:val="28"/>
                <w:szCs w:val="28"/>
              </w:rPr>
              <w:t>目</w:t>
            </w:r>
          </w:p>
        </w:tc>
        <w:tc>
          <w:tcPr>
            <w:tcW w:w="86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5189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154"/>
              <w:ind w:left="221" w:right="187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</w:rPr>
              <w:t>序号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154"/>
              <w:ind w:left="89" w:right="57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</w:rPr>
              <w:t>评分项目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154"/>
              <w:ind w:right="2232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</w:rPr>
              <w:t>评分标准</w:t>
            </w:r>
          </w:p>
        </w:tc>
        <w:tc>
          <w:tcPr>
            <w:tcW w:w="1059" w:type="dxa"/>
            <w:vAlign w:val="center"/>
          </w:tcPr>
          <w:p>
            <w:pPr>
              <w:pStyle w:val="11"/>
              <w:spacing w:before="154"/>
              <w:ind w:right="284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spacing w:before="154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</w:rPr>
              <w:t>得分</w:t>
            </w: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154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</w:rPr>
              <w:t>需提交相关证明材料及考核办法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第一执业地点注册于该医疗机构的医师数量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达到相应类别医疗机构标准医师配备数量得6分，每增加1名高级职称加2分，中级职称加1分，最高得10分</w:t>
            </w:r>
          </w:p>
        </w:tc>
        <w:tc>
          <w:tcPr>
            <w:tcW w:w="1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第一执业地点注册于该医疗机构的全科医师数量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第一执业地点注册于该医疗机构的全科医师数量占总医师数量50%以上（含）得3分，每提高10个百分点，加1分，最高得分5分</w:t>
            </w:r>
          </w:p>
        </w:tc>
        <w:tc>
          <w:tcPr>
            <w:tcW w:w="1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《医师信息登记表》及相关资格证、注册证和专业技术证复印件，配比占比台账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注册执业于该医疗机构的护师（士）数量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达到相应类别医疗机构标准护（师）士配备数量得6分，每增加1名高级职称加2分，中级职称加1分，最高得10分</w:t>
            </w:r>
          </w:p>
        </w:tc>
        <w:tc>
          <w:tcPr>
            <w:tcW w:w="1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1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医疗设备配置数量</w:t>
            </w:r>
          </w:p>
        </w:tc>
        <w:tc>
          <w:tcPr>
            <w:tcW w:w="5354" w:type="dxa"/>
            <w:gridSpan w:val="4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达到相应类别医疗机构标准设备配置数量得8分，每增加1套万元以上设备加1分，最高得10分</w:t>
            </w:r>
          </w:p>
        </w:tc>
        <w:tc>
          <w:tcPr>
            <w:tcW w:w="105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《医用设备清单》，提供大型设备发票复印件</w:t>
            </w:r>
          </w:p>
        </w:tc>
      </w:tr>
    </w:tbl>
    <w:tbl>
      <w:tblPr>
        <w:tblStyle w:val="8"/>
        <w:tblpPr w:leftFromText="180" w:rightFromText="180" w:vertAnchor="text" w:horzAnchor="page" w:tblpXSpec="center" w:tblpY="64"/>
        <w:tblOverlap w:val="never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206"/>
        <w:gridCol w:w="5352"/>
        <w:gridCol w:w="1058"/>
        <w:gridCol w:w="868"/>
        <w:gridCol w:w="51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69" w:type="dxa"/>
            <w:tcBorders>
              <w:top w:val="nil"/>
            </w:tcBorders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药品、耗材“进销存”管理</w:t>
            </w:r>
          </w:p>
        </w:tc>
        <w:tc>
          <w:tcPr>
            <w:tcW w:w="5352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有“进销存”台账得3分，有购进药品、耗材合法票据得3分， 进销存管理清晰，票据、台账与实际库存相符得4分</w:t>
            </w:r>
          </w:p>
        </w:tc>
        <w:tc>
          <w:tcPr>
            <w:tcW w:w="105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近半年（开业不满半年的，以开业时间为准）“进销存”系统导出进销存台账；购进药品、耗材合法票据的复印件及清单；现场查看情况、熟练操作情况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0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信息系统管理</w:t>
            </w:r>
          </w:p>
        </w:tc>
        <w:tc>
          <w:tcPr>
            <w:tcW w:w="5352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正常使用符合医疗保险联网结算和智能监控要求的计算机管理系统，有相应的操作和管理人员得5分，信息系统与医保系统 完全直接对接、联网并实时上传相关原始数据并保证真实完整得5分</w:t>
            </w:r>
          </w:p>
        </w:tc>
        <w:tc>
          <w:tcPr>
            <w:tcW w:w="105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操作和管理人员任职文件、提供系统界面截图不少于5张， 现场查看情况、熟练操作情况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0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配备的基本医疗保险药品种类数量</w:t>
            </w:r>
          </w:p>
        </w:tc>
        <w:tc>
          <w:tcPr>
            <w:tcW w:w="5352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达到100种（不含中药饮片）得5分，每增加50种加1分，最高 10分（注：中医医疗机构中药饮片达到400种得5分，每增加50 种加1分，最高10分；牙科诊所如配足基本医疗保险药品种类 数量，按实计分；仅配备消炎药等治疗所需基本药物，得</w:t>
            </w:r>
          </w:p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5分；未配备消炎药物，此项不得分。）</w:t>
            </w:r>
          </w:p>
        </w:tc>
        <w:tc>
          <w:tcPr>
            <w:tcW w:w="105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0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具备提供收费清单和结算明细单能力</w:t>
            </w:r>
          </w:p>
        </w:tc>
        <w:tc>
          <w:tcPr>
            <w:tcW w:w="5352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给患者提供收费清单和结算明细单，得10分，否则不得分</w:t>
            </w:r>
          </w:p>
        </w:tc>
        <w:tc>
          <w:tcPr>
            <w:tcW w:w="105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收费清单和结算明细单示例；现场查看随机患者清单2份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0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医保目录外费用比例</w:t>
            </w:r>
          </w:p>
        </w:tc>
        <w:tc>
          <w:tcPr>
            <w:tcW w:w="5352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≤10％得10分，每超过1%，扣1分，扣完5分为止</w:t>
            </w:r>
          </w:p>
        </w:tc>
        <w:tc>
          <w:tcPr>
            <w:tcW w:w="105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提供近半年（开业不满半年的，已开业时间为准）的相关数据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0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价格收费情况</w:t>
            </w:r>
          </w:p>
        </w:tc>
        <w:tc>
          <w:tcPr>
            <w:tcW w:w="5352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医院有完整明确的诊疗项目一览表及收费公示得2分；各医技科室有符合要求的检查人员日志登记簿得2分，病人检查项目与各以及科室簿核定一致得1分</w:t>
            </w:r>
          </w:p>
        </w:tc>
        <w:tc>
          <w:tcPr>
            <w:tcW w:w="105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提供完整明确的诊疗项目一览表及收费公示；各医技科室的检查人员日志登记簿；现场随机查看患者收费单据2份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869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06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参加社会保险情况</w:t>
            </w:r>
          </w:p>
        </w:tc>
        <w:tc>
          <w:tcPr>
            <w:tcW w:w="5352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所有员工参加社会保险并缴纳社会保险费得5分，否则不得分</w:t>
            </w:r>
          </w:p>
        </w:tc>
        <w:tc>
          <w:tcPr>
            <w:tcW w:w="105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8" w:type="dxa"/>
            <w:vAlign w:val="center"/>
          </w:tcPr>
          <w:p>
            <w:pPr>
              <w:pStyle w:val="11"/>
              <w:spacing w:before="9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提供单位参保人员花名册、已参保缴费证明，其中返聘退休人员的，提供退休证明材料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427" w:type="dxa"/>
            <w:gridSpan w:val="3"/>
          </w:tcPr>
          <w:p>
            <w:pPr>
              <w:pStyle w:val="11"/>
              <w:spacing w:before="124"/>
              <w:ind w:right="3766"/>
              <w:jc w:val="both"/>
              <w:rPr>
                <w:rFonts w:hint="default" w:eastAsia="方正黑体_GBK"/>
                <w:b/>
                <w:sz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105"/>
                <w:sz w:val="28"/>
                <w:szCs w:val="28"/>
              </w:rPr>
              <w:t>分值合计</w:t>
            </w:r>
          </w:p>
        </w:tc>
        <w:tc>
          <w:tcPr>
            <w:tcW w:w="1058" w:type="dxa"/>
          </w:tcPr>
          <w:p>
            <w:pPr>
              <w:pStyle w:val="11"/>
              <w:spacing w:before="120"/>
              <w:ind w:right="352"/>
              <w:jc w:val="right"/>
              <w:rPr>
                <w:rFonts w:ascii="Times New Roman"/>
                <w:sz w:val="19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868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188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hint="default" w:eastAsiaTheme="minorEastAsia"/>
          <w:sz w:val="19"/>
          <w:lang w:val="en-US" w:eastAsia="zh-CN"/>
        </w:rPr>
        <w:sectPr>
          <w:type w:val="continuous"/>
          <w:pgSz w:w="16840" w:h="11910" w:orient="landscape"/>
          <w:pgMar w:top="1580" w:right="520" w:bottom="280" w:left="520" w:header="720" w:footer="720" w:gutter="0"/>
          <w:pgNumType w:fmt="numberInDash"/>
          <w:cols w:space="720" w:num="1"/>
          <w:formProt w:val="1"/>
        </w:sectPr>
      </w:pPr>
      <w:bookmarkStart w:id="0" w:name="_GoBack"/>
      <w:bookmarkEnd w:id="0"/>
    </w:p>
    <w:p>
      <w:pPr>
        <w:pStyle w:val="4"/>
        <w:tabs>
          <w:tab w:val="left" w:pos="3852"/>
          <w:tab w:val="left" w:pos="4654"/>
        </w:tabs>
        <w:spacing w:before="99"/>
        <w:jc w:val="both"/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7110730</wp:posOffset>
              </wp:positionV>
              <wp:extent cx="368300" cy="19939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559.9pt;height:15.7pt;width:29pt;mso-position-horizontal:outside;mso-position-horizontal-relative:margin;mso-position-vertical-relative:page;z-index:251659264;mso-width-relative:page;mso-height-relative:page;" filled="f" stroked="f" coordsize="21600,21600" o:gfxdata="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vHR3BtYAAAAJAQAADwAAAAAAAAABACAAAAA4AAAA&#10;ZHJzL2Rvd25yZXYueG1sUEsBAhQAFAAAAAgAh07iQCOoiY+6AQAAcgMAAA4AAAAAAAAAAQAgAAAA&#10;O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10243185</wp:posOffset>
              </wp:positionV>
              <wp:extent cx="368300" cy="199390"/>
              <wp:effectExtent l="0" t="0" r="0" b="0"/>
              <wp:wrapNone/>
              <wp:docPr id="1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806.55pt;height:15.7pt;width:29pt;mso-position-horizontal:outside;mso-position-horizontal-relative:margin;mso-position-vertical-relative:page;z-index:251660288;mso-width-relative:page;mso-height-relative:page;" filled="f" stroked="f" coordsize="21600,21600" o:gfxdata="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BPcqkzXAAAACQEAAA8AAAAAAAAAAQAgAAAAOAAA&#10;AGRycy9kb3ducmV2LnhtbFBLAQIUABQAAAAIAIdO4kCh0dYUugEAAHIDAAAOAAAAAAAAAAEAIAAA&#10;ADw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jdlMDIwOGQ3MzY0ZDMzMDIzYjVkNTIxZDU1ZGYifQ=="/>
  </w:docVars>
  <w:rsids>
    <w:rsidRoot w:val="00000000"/>
    <w:rsid w:val="017052C2"/>
    <w:rsid w:val="09063A89"/>
    <w:rsid w:val="10AA3936"/>
    <w:rsid w:val="208618D4"/>
    <w:rsid w:val="209279DA"/>
    <w:rsid w:val="213B5E42"/>
    <w:rsid w:val="2C2B2B40"/>
    <w:rsid w:val="32FB691F"/>
    <w:rsid w:val="357009D8"/>
    <w:rsid w:val="49102E38"/>
    <w:rsid w:val="49141147"/>
    <w:rsid w:val="4DFF9693"/>
    <w:rsid w:val="5CB70498"/>
    <w:rsid w:val="5CE2303B"/>
    <w:rsid w:val="6A1040B7"/>
    <w:rsid w:val="6F0452E3"/>
    <w:rsid w:val="722C7C94"/>
    <w:rsid w:val="74F17D21"/>
    <w:rsid w:val="75143CB6"/>
    <w:rsid w:val="759C7879"/>
    <w:rsid w:val="77395EC9"/>
    <w:rsid w:val="7E247D79"/>
    <w:rsid w:val="CFB7DA16"/>
    <w:rsid w:val="F7B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1"/>
    <w:pPr>
      <w:ind w:left="1025" w:hanging="323"/>
    </w:pPr>
    <w:rPr>
      <w:rFonts w:ascii="仿宋" w:hAnsi="仿宋" w:eastAsia="仿宋" w:cs="仿宋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7935</Words>
  <Characters>8005</Characters>
  <Lines>0</Lines>
  <Paragraphs>0</Paragraphs>
  <TotalTime>0</TotalTime>
  <ScaleCrop>false</ScaleCrop>
  <LinksUpToDate>false</LinksUpToDate>
  <CharactersWithSpaces>8222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2024-09-10T18:23:00Z</dcterms:created>
  <dc:creator>Administrator</dc:creator>
  <cp:lastModifiedBy>thtf</cp:lastModifiedBy>
  <dcterms:modified xsi:type="dcterms:W3CDTF">2025-01-15T12:51:25Z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861903215386E3A27300E066526DE8DD_43</vt:lpwstr>
  </property>
</Properties>
</file>